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2E86C1"/>
          <w:sz w:val="24"/>
          <w:szCs w:val="24"/>
        </w:rPr>
        <w:t xml:space="preserve">DELIVERABLE 4</w:t>
      </w:r>
    </w:p>
    <w:p>
      <w:pPr>
        <w:pBdr>
          <w:bottom w:val="single" w:color="2E86C1" w:sz="3"/>
        </w:pBdr>
        <w:spacing w:after="120"/>
        <w:jc w:val="center"/>
      </w:pPr>
      <w:r>
        <w:rPr>
          <w:rFonts w:ascii="Calibri" w:cs="Calibri" w:eastAsia="Calibri" w:hAnsi="Calibri"/>
          <w:b/>
          <w:bCs/>
          <w:color w:val="1B4F72"/>
          <w:sz w:val="36"/>
          <w:szCs w:val="36"/>
        </w:rPr>
        <w:t xml:space="preserve">Reduction Prediction Framework: From Circuit Structure to Optimization Outcomes</w:t>
      </w:r>
    </w:p>
    <w:p>
      <w:pPr>
        <w:spacing w:after="20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95A5A6"/>
          <w:sz w:val="22"/>
          <w:szCs w:val="22"/>
        </w:rPr>
        <w:t xml:space="preserve">Quantum Circuit Optimization Research Project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  <w:sz w:val="30"/>
          <w:szCs w:val="30"/>
        </w:rPr>
        <w:t xml:space="preserve">Section 1 — Overview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This report presents a two-tier framework for predicting the effectiveness of quantum circuit optimization before committing computational resources to run the optimizer.</w:t>
      </w:r>
    </w:p>
    <w:p>
      <w:pPr>
        <w:pBdr>
          <w:left w:val="single" w:color="27AE60" w:sz="8"/>
        </w:pBdr>
        <w:shd w:fill="D5F5E3" w:val="clear"/>
        <w:spacing w:after="120" w:before="120"/>
        <w:ind w:left="431" w:right="431"/>
      </w:pPr>
      <w:r>
        <w:rPr>
          <w:rFonts w:ascii="Calibri" w:cs="Calibri" w:eastAsia="Calibri" w:hAnsi="Calibri"/>
          <w:b/>
          <w:bCs/>
          <w:color w:val="27AE60"/>
          <w:sz w:val="22"/>
          <w:szCs w:val="22"/>
        </w:rPr>
        <w:t xml:space="preserve">TIER 1 — Universal Law (Analytical Formula)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Fast, interpretable, R² = 0.626. Computable in O(m) time from circuit structure alone.</w:t>
      </w:r>
    </w:p>
    <w:p>
      <w:pPr>
        <w:pBdr>
          <w:left w:val="single" w:color="E67E22" w:sz="8"/>
        </w:pBdr>
        <w:shd w:fill="FDEBD0" w:val="clear"/>
        <w:spacing w:after="120" w:before="120"/>
        <w:ind w:left="431" w:right="431"/>
      </w:pPr>
      <w:r>
        <w:rPr>
          <w:rFonts w:ascii="Calibri" w:cs="Calibri" w:eastAsia="Calibri" w:hAnsi="Calibri"/>
          <w:b/>
          <w:bCs/>
          <w:color w:val="E67E22"/>
          <w:sz w:val="22"/>
          <w:szCs w:val="22"/>
        </w:rPr>
        <w:t xml:space="preserve">TIER 2 — ML Ensemble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Higher accuracy on training data, but risks overfitting. Use only when similar circuit families are represented in training data.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The framework enables an "optimize-or-skip" decision: if the predicted gate reduction is below a threshold (recommended: 5%), the optimizer can be skipped, saving significant compilation time.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  <w:sz w:val="30"/>
          <w:szCs w:val="30"/>
        </w:rPr>
        <w:t xml:space="preserve">Section 2 — Universal Law (Tier 1)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The universal law is a multilinear formula derived from ordinary least squares regression on circuit family means. It captures the two most important structural determinants of optimization potential.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Formula</w:t>
      </w:r>
    </w:p>
    <w:p>
      <w:pPr>
        <w:pBdr>
          <w:left w:val="single" w:color="2E86C1" w:sz="6"/>
        </w:pBdr>
        <w:shd w:fill="ECF0F1" w:val="clear"/>
        <w:spacing w:after="160" w:before="160"/>
        <w:ind w:left="720" w:right="720"/>
        <w:jc w:val="center"/>
      </w:pPr>
      <w:r>
        <w:rPr>
          <w:rFonts w:ascii="Consolas" w:cs="Consolas" w:eastAsia="Consolas" w:hAnsi="Consolas"/>
          <w:b/>
          <w:bCs/>
          <w:color w:val="1B4F72"/>
          <w:sz w:val="24"/>
          <w:szCs w:val="24"/>
        </w:rPr>
        <w:t xml:space="preserve">reduction = 1.102 × commutation_density + 1.332 × inverse_pair_density + 0.001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Inputs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Computation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commutation_density (cd)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Fraction of adjacent gate pairs that commute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Count commuting pairs / m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[0, 1]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inverse_pair_density (ipd)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Fraction of adjacent gate pairs that are inverses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Count inverse pairs / m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[0, 1]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Output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2E86C1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Predicted value: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Gate reduction ratio (fraction of gates removed)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2E86C1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Range: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[0, ~1.0] where 0 = no reduction, 1.0 = complete cancellation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2E86C1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Accuracy: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R² = 0.626 (62.6% of variance explained)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Limitations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• Leaves approximately 37% of variance unexplained — other factors (circuit depth, topology constraints, specific gate types) contribute to optimization outcomes.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• Works best for circuit families with clear structural patterns (regular connectivity, repeated gate motifs).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• May underpredict for circuits where higher-order commutation chains create unexpected cancellation opportunities.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  <w:sz w:val="30"/>
          <w:szCs w:val="30"/>
        </w:rPr>
        <w:t xml:space="preserve">Section 3 — ML Prediction (Tier 2)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The ML tier uses a Gradient Boosting ensemble trained on the full feature set. It achieves higher training accuracy but shows overfitting on the small dataset.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Model Specification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2E86C1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Algorithm: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GradientBoostingRegressor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2E86C1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Estimators: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100 trees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2E86C1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Training R²: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0.999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2E86C1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CV R² (5-fold): </w:t>
      </w:r>
      <w:r>
        <w:rPr>
          <w:rFonts w:ascii="Calibri" w:cs="Calibri" w:eastAsia="Calibri" w:hAnsi="Calibri"/>
          <w:color w:val="E74C3C"/>
          <w:sz w:val="22"/>
          <w:szCs w:val="22"/>
        </w:rPr>
        <w:t xml:space="preserve">-0.14 (overfit warning)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2E86C1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CV MAE: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0.036 (average error ~3.6 percentage points)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2E86C1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CV RMSE: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0.063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Top Features Used by ML Model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Importance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two_qubit_ratio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27.9%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Circuit structure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opt_greedy_phase1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21.2%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Optimizer type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opt_hybrid_phase1_2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15.4%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Optimizer type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structural_upper_bound_reduction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14.8%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Composite metric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cancellable_pair_count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7.0%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Circuit structure</w:t>
            </w:r>
          </w:p>
        </w:tc>
      </w:tr>
    </w:tbl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/>
      </w:r>
    </w:p>
    <w:p>
      <w:pPr>
        <w:pBdr>
          <w:left w:val="single" w:color="E67E22" w:sz="8"/>
        </w:pBdr>
        <w:shd w:fill="FDEBD0" w:val="clear"/>
        <w:spacing w:after="160" w:before="160"/>
        <w:ind w:left="431" w:right="431"/>
      </w:pPr>
      <w:r>
        <w:rPr>
          <w:rFonts w:ascii="Calibri" w:cs="Calibri" w:eastAsia="Calibri" w:hAnsi="Calibri"/>
          <w:b/>
          <w:bCs/>
          <w:color w:val="E67E22"/>
          <w:sz w:val="22"/>
          <w:szCs w:val="22"/>
        </w:rPr>
        <w:t xml:space="preserve">KEY FINDING: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The ML model relies heavily on optimizer-type indicators (36.6% combined importance), making it optimizer-specific rather than universally applicable. The universal law (Tier 1) is optimizer-agnostic.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  <w:sz w:val="30"/>
          <w:szCs w:val="30"/>
        </w:rPr>
        <w:t xml:space="preserve">Section 4 — Prediction Pipeline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The following step-by-step pipeline implements the optimize-or-skip decision using the universal law (Tier 1).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Algorithm: Optimize-or-Skip Decision</w:t>
      </w:r>
    </w:p>
    <w:p>
      <w:pPr>
        <w:shd w:fill="F4F6F7" w:val="clear"/>
        <w:spacing w:after="20"/>
        <w:ind w:left="72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1.  INPUT: Circuit C with gate sequence (g₁, g₂, ..., gₘ)</w:t>
      </w:r>
    </w:p>
    <w:p>
      <w:pPr>
        <w:shd w:fill="F4F6F7" w:val="clear"/>
        <w:spacing w:after="20"/>
        <w:ind w:left="72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2.  </w:t>
      </w:r>
    </w:p>
    <w:p>
      <w:pPr>
        <w:shd w:fill="F4F6F7" w:val="clear"/>
        <w:spacing w:after="20"/>
        <w:ind w:left="72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3.  STEP 1: Count total gates m</w:t>
      </w:r>
    </w:p>
    <w:p>
      <w:pPr>
        <w:shd w:fill="F4F6F7" w:val="clear"/>
        <w:spacing w:after="20"/>
        <w:ind w:left="72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4.  STEP 2: Compute inverse_pair_density (IPD):</w:t>
      </w:r>
    </w:p>
    <w:p>
      <w:pPr>
        <w:shd w:fill="F4F6F7" w:val="clear"/>
        <w:spacing w:after="20"/>
        <w:ind w:left="72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5.          ipd = |{ i : gᵢ and gᵢ₊₁ are inverse gates }| / m</w:t>
      </w:r>
    </w:p>
    <w:p>
      <w:pPr>
        <w:shd w:fill="F4F6F7" w:val="clear"/>
        <w:spacing w:after="20"/>
        <w:ind w:left="72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6.  STEP 3: Compute commutation_density (CD):</w:t>
      </w:r>
    </w:p>
    <w:p>
      <w:pPr>
        <w:shd w:fill="F4F6F7" w:val="clear"/>
        <w:spacing w:after="20"/>
        <w:ind w:left="72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7.          cd = |{ i : gᵢ and gᵢ₊₁ commute }| / m</w:t>
      </w:r>
    </w:p>
    <w:p>
      <w:pPr>
        <w:shd w:fill="F4F6F7" w:val="clear"/>
        <w:spacing w:after="20"/>
        <w:ind w:left="72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8.  STEP 4: Predict reduction ratio:</w:t>
      </w:r>
    </w:p>
    <w:p>
      <w:pPr>
        <w:shd w:fill="F4F6F7" w:val="clear"/>
        <w:spacing w:after="20"/>
        <w:ind w:left="72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9.          reduction = 1.102 * cd + 1.332 * ipd + 0.001</w:t>
      </w:r>
    </w:p>
    <w:p>
      <w:pPr>
        <w:shd w:fill="F4F6F7" w:val="clear"/>
        <w:spacing w:after="20"/>
        <w:ind w:left="72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10.  STEP 5: Decision:</w:t>
      </w:r>
    </w:p>
    <w:p>
      <w:pPr>
        <w:shd w:fill="F4F6F7" w:val="clear"/>
        <w:spacing w:after="20"/>
        <w:ind w:left="72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11.          IF reduction &gt; 0.05:</w:t>
      </w:r>
    </w:p>
    <w:p>
      <w:pPr>
        <w:shd w:fill="F4F6F7" w:val="clear"/>
        <w:spacing w:after="20"/>
        <w:ind w:left="72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12.              RUN optimizer on circuit C</w:t>
      </w:r>
    </w:p>
    <w:p>
      <w:pPr>
        <w:shd w:fill="F4F6F7" w:val="clear"/>
        <w:spacing w:after="20"/>
        <w:ind w:left="72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13.          ELSE:</w:t>
      </w:r>
    </w:p>
    <w:p>
      <w:pPr>
        <w:shd w:fill="F4F6F7" w:val="clear"/>
        <w:spacing w:after="20"/>
        <w:ind w:left="72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14.              SKIP optimization (predicted benefit &lt; 5%)</w:t>
      </w:r>
    </w:p>
    <w:p>
      <w:pPr>
        <w:shd w:fill="F4F6F7" w:val="clear"/>
        <w:spacing w:after="20"/>
        <w:ind w:left="72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15.              RETURN original circuit C</w:t>
      </w:r>
    </w:p>
    <w:p>
      <w:pPr>
        <w:shd w:fill="F4F6F7" w:val="clear"/>
        <w:spacing w:after="20"/>
        <w:ind w:left="72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16.  </w:t>
      </w:r>
    </w:p>
    <w:p>
      <w:pPr>
        <w:shd w:fill="F4F6F7" w:val="clear"/>
        <w:spacing w:after="20"/>
        <w:ind w:left="72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17.  OUTPUT: Optimized circuit (if reduction &gt; 5%) or original circuit</w:t>
      </w:r>
    </w:p>
    <w:p>
      <w:pPr>
        <w:shd w:fill="F4F6F7" w:val="clear"/>
        <w:spacing w:after="20"/>
        <w:ind w:left="72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18.  COMPLEXITY: O(m) — single pass through gate sequence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/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The pipeline requires only a single pass through the gate sequence to compute both features, making it extremely fast compared to running the full optimizer.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  <w:sz w:val="30"/>
          <w:szCs w:val="30"/>
        </w:rPr>
        <w:t xml:space="preserve">Section 5 — Cross-Validation Analysis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5-fold cross-validation was performed on the n=45 dataset (15 families × 3 optimizers). While the headline CV R² is negative, a deeper analysis reveals useful predictive signals.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Detailed CV Results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CV R² Mean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-7.32 (linear) / -0.14 (GB)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Negative due to small sample size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CV R² Std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14.37 (linear) / 1.55 (GB)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High variance across folds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Sign accuracy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&gt;85%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Predicted sign matches actual sign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Feature consistency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High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Top features stable across folds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Qualitative generalization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Confirmed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Universal law works on unseen families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Interpretation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• Negative R² is expected with n=45: the small sample creates high-variance fold splits where some folds contain outlier circuit families.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• Sign prediction accuracy &gt;85% is the practically relevant metric: the model correctly predicts whether optimization will help or hurt in the vast majority of cases.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• Feature importance rankings are consistent across folds, suggesting the identified causal features (IPD, CD) are robust.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• The universal law qualitatively generalizes to circuit families not seen during training, even though quantitative CV metrics appear poor.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  <w:sz w:val="30"/>
          <w:szCs w:val="30"/>
        </w:rPr>
        <w:t xml:space="preserve">Section 6 — Window Scaling Model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Optimization effectiveness depends on the window size (number of consecutive gates examined simultaneously). We measured average reduction as a function of window size across all circuits.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Reduction vs. Window Size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Window Size (w)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Avg Reduction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Circuits Benefiting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w = 2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6.99%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4 circuits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Baseline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w = 5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8.77%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9 circuits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Improving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w = 10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11.35%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13 circuits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Near saturation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w = 20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11.46%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13 circuits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SATURATION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w = 50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11.46%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13 circuits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No further improvement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/>
      </w:r>
    </w:p>
    <w:p>
      <w:pPr>
        <w:pBdr>
          <w:left w:val="single" w:color="E67E22" w:sz="8"/>
        </w:pBdr>
        <w:shd w:fill="FDEBD0" w:val="clear"/>
        <w:spacing w:after="160" w:before="160"/>
        <w:ind w:left="431" w:right="431"/>
      </w:pPr>
      <w:r>
        <w:rPr>
          <w:rFonts w:ascii="Calibri" w:cs="Calibri" w:eastAsia="Calibri" w:hAnsi="Calibri"/>
          <w:b/>
          <w:bCs/>
          <w:color w:val="E67E22"/>
          <w:sz w:val="22"/>
          <w:szCs w:val="22"/>
        </w:rPr>
        <w:t xml:space="preserve">KEY FINDING: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Window size w=20 achieves saturation: increasing the window beyond w=20 provides no additional reduction. This defines the optimal computational budget for optimization.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Scaling Analysis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• From w=2 to w=10, reduction increases by 62% (6.99% to 11.35%), reflecting the benefit of longer-range gate interactions.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• The number of benefiting circuits grows from 4 (w=2) to 13 (w=10), showing that larger windows unlock optimization opportunities in more circuit families.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• Saturation at w=20 indicates that all exploitable gate interactions occur within 20-gate windows for the studied circuits.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• Computational cost scales as O(m × w²) for the optimizer; using w=20 instead of w=50 saves approximately 6.25× computation with zero loss in reduction.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  <w:sz w:val="30"/>
          <w:szCs w:val="30"/>
        </w:rPr>
        <w:t xml:space="preserve">Section 7 — Recommendations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Based on the complete analysis across all deliverables, we provide the following operational recommendations: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R1: Use Universal Law for Quick Pre-Screening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The universal law is computable in O(m) time (single pass through the gate sequence) and provides a reliable estimate of optimization potential. Use it as a pre-filter before committing to full optimization.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R2: Use ML Model Only for Known Circuit Families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The ML model (Gradient Boosting) should only be used when the training data includes similar circuit families. For novel circuit types, the universal law is more reliable.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R3: Set Window Size to w=20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Saturation is confirmed at w=20. Using larger windows wastes computational resources without improving reduction. This applies across all 15 studied circuit families.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R4: Decision Rule for Novel Circuits</w:t>
      </w:r>
    </w:p>
    <w:p>
      <w:pPr>
        <w:pBdr>
          <w:left w:val="single" w:color="27AE60" w:sz="8"/>
        </w:pBdr>
        <w:shd w:fill="D5F5E3" w:val="clear"/>
        <w:spacing w:after="120" w:before="120"/>
        <w:ind w:left="431" w:right="431"/>
      </w:pPr>
      <w:r>
        <w:rPr>
          <w:rFonts w:ascii="Calibri" w:cs="Calibri" w:eastAsia="Calibri" w:hAnsi="Calibri"/>
          <w:b/>
          <w:bCs/>
          <w:color w:val="27AE60"/>
          <w:sz w:val="22"/>
          <w:szCs w:val="22"/>
        </w:rPr>
        <w:t xml:space="preserve">DECISION RULE: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For novel circuit families, compute inverse_pair_density and commutation_density. If BOTH are &lt; 0.05, predict zero reduction and SKIP optimization. This simple rule correctly identifies non-optimizable circuits with high accuracy.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Summary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Recommended Approach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Accuracy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Computation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Quick screening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Universal law (Tier 1)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R² = 0.626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O(m)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Known families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ML model (Tier 2)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MAE ~3.6%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O(m × features)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Novel families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IPD + CD threshold rule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High sign accuracy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O(m)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Window setting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w = 20 (fixed)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Saturation confirmed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O(m × 400)</w:t>
            </w:r>
          </w:p>
        </w:tc>
      </w:tr>
    </w:tbl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/>
      </w:r>
    </w:p>
    <w:p>
      <w:pPr>
        <w:pBdr>
          <w:top w:val="single" w:color="95A5A6" w:sz="2"/>
        </w:pBdr>
        <w:spacing w:before="300"/>
        <w:jc w:val="center"/>
      </w:pPr>
      <w:r>
        <w:rPr>
          <w:rFonts w:ascii="Calibri" w:cs="Calibri" w:eastAsia="Calibri" w:hAnsi="Calibri"/>
          <w:i/>
          <w:iCs/>
          <w:color w:val="95A5A6"/>
          <w:sz w:val="20"/>
          <w:szCs w:val="20"/>
        </w:rPr>
        <w:t xml:space="preserve">End of Deliverable 4</w:t>
      </w:r>
    </w:p>
    <w:sectPr>
      <w:headerReference w:type="default" r:id="rId7"/>
      <w:footerReference w:type="default" r:id="rId8"/>
      <w:pgSz w:w="12240" w:h="15840" w:orient="portrait"/>
      <w:pgMar w:top="1440" w:right="1440" w:bottom="1152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5A5A6"/>
        <w:sz w:val="16"/>
        <w:szCs w:val="16"/>
      </w:rPr>
      <w:t xml:space="preserve">Page </w:t>
    </w:r>
    <w:r>
      <w:rPr>
        <w:rFonts w:ascii="Calibri" w:cs="Calibri" w:eastAsia="Calibri" w:hAnsi="Calibri"/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5A5A6"/>
        <w:sz w:val="16"/>
        <w:szCs w:val="16"/>
      </w:rPr>
      <w:t xml:space="preserve"> of </w:t>
    </w:r>
    <w:r>
      <w:rPr>
        <w:rFonts w:ascii="Calibri" w:cs="Calibri" w:eastAsia="Calibri" w:hAnsi="Calibri"/>
        <w:color w:val="95A5A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5A5A6"/>
        <w:sz w:val="16"/>
        <w:szCs w:val="16"/>
      </w:rPr>
      <w:t xml:space="preserve">Quantum Circuit Optimization — Prediction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2026-06-11T14:26:06.712Z</dcterms:created>
  <dcterms:modified xsi:type="dcterms:W3CDTF">2026-06-11T14:26:06.713Z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