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FF0000" w:val="clear"/>
        <w:spacing w:after="0" w:before="0"/>
        <w:jc w:val="center"/>
      </w:pPr>
      <w:r>
        <w:rPr>
          <w:b/>
          <w:bCs/>
          <w:color w:val="FFFFFF"/>
          <w:sz w:val="28"/>
          <w:szCs w:val="28"/>
        </w:rPr>
        <w:t xml:space="preserve">*** SUPERSEDED ***</w:t>
      </w:r>
    </w:p>
    <w:p>
      <w:pPr>
        <w:shd w:fill="FFCCCC" w:val="clear"/>
        <w:spacing w:after="200" w:before="0"/>
        <w:jc w:val="center"/>
      </w:pPr>
      <w:r>
        <w:rPr>
          <w:b/>
          <w:bCs/>
          <w:color w:val="CC0000"/>
          <w:sz w:val="22"/>
          <w:szCs w:val="22"/>
        </w:rPr>
        <w:t xml:space="preserve">This deliverable is superseded by PHASE-7/8 findings (D8/D9). Key corrections: (1) Phase-1 zero reduction is a structural ceiling, not an optimizer failure; (2) Glass’s Delta used instead of Cohen’s d due to zero variance; (3) Held-out validation failed (MAE=0.2775, Pearson=NaN); (4) See v5 manuscript for authoritative results.</w:t>
      </w:r>
    </w:p>
    <w:p>
      <w:pPr>
        <w:spacing w:after="0"/>
      </w:pP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2E86C1"/>
          <w:sz w:val="24"/>
          <w:szCs w:val="24"/>
        </w:rPr>
        <w:t xml:space="preserve">DELIVERABLE 2</w:t>
      </w:r>
    </w:p>
    <w:p>
      <w:pPr>
        <w:pBdr>
          <w:bottom w:val="single" w:color="2E86C1" w:sz="3"/>
        </w:pBdr>
        <w:spacing w:after="120"/>
        <w:jc w:val="center"/>
      </w:pPr>
      <w:r>
        <w:rPr>
          <w:rFonts w:ascii="Calibri" w:cs="Calibri" w:eastAsia="Calibri" w:hAnsi="Calibri"/>
          <w:b/>
          <w:bCs/>
          <w:color w:val="1B4F72"/>
          <w:sz w:val="40"/>
          <w:szCs w:val="40"/>
        </w:rPr>
        <w:t xml:space="preserve">Candidate Mathematical Models for Structural Ceiling Prediction</w:t>
      </w:r>
    </w:p>
    <w:p>
      <w:pPr>
        <w:spacing w:after="20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95A5A6"/>
          <w:sz w:val="22"/>
          <w:szCs w:val="22"/>
        </w:rPr>
        <w:t xml:space="preserve">Quantum Circuit Optimization Research Project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B4F72"/>
          <w:sz w:val="30"/>
          <w:szCs w:val="30"/>
        </w:rPr>
        <w:t xml:space="preserve">Section 1 — Overview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From 47,401 experimental rows across 15 circuit families, we extracted structural features and fitted multiple predictive models for gate reduction ratio. This report catalogs all candidate models with performance metrics.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The modeling process encompassed the following stages:</w:t>
      </w:r>
    </w:p>
    <w:p>
      <w:pPr>
        <w:spacing w:after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1. Feature extraction from raw circuit data (gate counts, pair densities, commutation metrics)</w:t>
      </w:r>
    </w:p>
    <w:p>
      <w:pPr>
        <w:spacing w:after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2. Candidate model specification (linear, nonlinear, polynomial, machine learning)</w:t>
      </w:r>
    </w:p>
    <w:p>
      <w:pPr>
        <w:spacing w:after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3. Parameter fitting via ordinary least squares and gradient-based optimization</w:t>
      </w:r>
    </w:p>
    <w:p>
      <w:pPr>
        <w:spacing w:after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4. Cross-validation and overfitting assessment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5. Model comparison and final recommendation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B4F72"/>
          <w:sz w:val="30"/>
          <w:szCs w:val="30"/>
        </w:rPr>
        <w:t xml:space="preserve">Section 2 — Multilinear Model (Best Interpretable)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The multilinear model emerged as the best physically interpretable model, capturing the two most important causal mechanisms of circuit optimization.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86C1"/>
          <w:sz w:val="26"/>
          <w:szCs w:val="26"/>
        </w:rPr>
        <w:t xml:space="preserve">Model Equation</w:t>
      </w:r>
    </w:p>
    <w:p>
      <w:pPr>
        <w:pBdr>
          <w:left w:val="single" w:color="2E86C1" w:sz="6"/>
        </w:pBdr>
        <w:shd w:fill="ECF0F1" w:val="clear"/>
        <w:spacing w:after="160" w:before="160"/>
        <w:ind w:left="720" w:right="720"/>
        <w:jc w:val="center"/>
      </w:pPr>
      <w:r>
        <w:rPr>
          <w:rFonts w:ascii="Consolas" w:cs="Consolas" w:eastAsia="Consolas" w:hAnsi="Consolas"/>
          <w:b/>
          <w:bCs/>
          <w:color w:val="1B4F72"/>
          <w:sz w:val="24"/>
          <w:szCs w:val="24"/>
        </w:rPr>
        <w:t xml:space="preserve">reduction = 1.102 × commutation_density + 1.332 × inverse_pair_density + 0.001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86C1"/>
          <w:sz w:val="26"/>
          <w:szCs w:val="26"/>
        </w:rPr>
        <w:t xml:space="preserve">Performance Metrics</w:t>
      </w:r>
    </w:p>
    <w:p>
      <w:pPr>
        <w:spacing w:after="80"/>
        <w:ind w:left="576"/>
      </w:pPr>
      <w:r>
        <w:rPr>
          <w:rFonts w:ascii="Calibri" w:cs="Calibri" w:eastAsia="Calibri" w:hAnsi="Calibri"/>
          <w:color w:val="2E86C1"/>
          <w:sz w:val="22"/>
          <w:szCs w:val="22"/>
        </w:rPr>
        <w:t xml:space="preserve">▸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R² (Coefficient of Determination):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0.626</w:t>
      </w:r>
    </w:p>
    <w:p>
      <w:pPr>
        <w:spacing w:after="80"/>
        <w:ind w:left="576"/>
      </w:pPr>
      <w:r>
        <w:rPr>
          <w:rFonts w:ascii="Calibri" w:cs="Calibri" w:eastAsia="Calibri" w:hAnsi="Calibri"/>
          <w:color w:val="2E86C1"/>
          <w:sz w:val="22"/>
          <w:szCs w:val="22"/>
        </w:rPr>
        <w:t xml:space="preserve">▸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Feature significance (commutation_density):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p &lt; 0.001</w:t>
      </w:r>
    </w:p>
    <w:p>
      <w:pPr>
        <w:spacing w:after="80"/>
        <w:ind w:left="576"/>
      </w:pPr>
      <w:r>
        <w:rPr>
          <w:rFonts w:ascii="Calibri" w:cs="Calibri" w:eastAsia="Calibri" w:hAnsi="Calibri"/>
          <w:color w:val="2E86C1"/>
          <w:sz w:val="22"/>
          <w:szCs w:val="22"/>
        </w:rPr>
        <w:t xml:space="preserve">▸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Feature significance (inverse_pair_density):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p &lt; 0.001</w:t>
      </w:r>
    </w:p>
    <w:p>
      <w:pPr>
        <w:spacing w:after="80"/>
        <w:ind w:left="576"/>
      </w:pPr>
      <w:r>
        <w:rPr>
          <w:rFonts w:ascii="Calibri" w:cs="Calibri" w:eastAsia="Calibri" w:hAnsi="Calibri"/>
          <w:color w:val="2E86C1"/>
          <w:sz w:val="22"/>
          <w:szCs w:val="22"/>
        </w:rPr>
        <w:t xml:space="preserve">▸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Intercept significance: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p &lt; 0.05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/>
      </w:r>
    </w:p>
    <w:p>
      <w:pPr>
        <w:pBdr>
          <w:left w:val="single" w:color="E67E22" w:sz="8"/>
        </w:pBdr>
        <w:shd w:fill="FDEBD0" w:val="clear"/>
        <w:spacing w:after="160" w:before="160"/>
        <w:ind w:left="431" w:right="431"/>
      </w:pPr>
      <w:r>
        <w:rPr>
          <w:rFonts w:ascii="Calibri" w:cs="Calibri" w:eastAsia="Calibri" w:hAnsi="Calibri"/>
          <w:b/>
          <w:bCs/>
          <w:color w:val="E67E22"/>
          <w:sz w:val="22"/>
          <w:szCs w:val="22"/>
        </w:rPr>
        <w:t xml:space="preserve">KEY FINDING: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Two structural features explain 62.6% of variance in gate reduction ratio. Both coefficients are positive and physically meaningful: higher commutation density and higher inverse pair density both lead to greater optimization potential.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86C1"/>
          <w:sz w:val="26"/>
          <w:szCs w:val="26"/>
        </w:rPr>
        <w:t xml:space="preserve">Physical Interpretation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The coefficient of inverse_pair_density (1.332) is larger than that of commutation_density (1.102), indicating that adjacent inverse gate pairs are slightly more predictive of optimization potential than general commutation relationships. This aligns with the two-phase optimization strategy: Phase-1 targets inverse pairs directly, while Phase-2 exploits commutation to create new cancellation opportunities.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B4F72"/>
          <w:sz w:val="30"/>
          <w:szCs w:val="30"/>
        </w:rPr>
        <w:t xml:space="preserve">Section 3 — Single-Variable Models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We evaluated four single-variable models using inverse_pair_density as the sole predictor. These models sacrifice accuracy for simplicity and are useful for quick estimates.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86C1"/>
          <w:sz w:val="26"/>
          <w:szCs w:val="26"/>
        </w:rPr>
        <w:t xml:space="preserve">Model Comparison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Equation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R²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Parameters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Log-IPD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1.574 × log(IPD + 1) + 0.030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0.555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Linear-IPD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1.275 × IPD + 0.030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0.555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Power-IPD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0.974 × IPD^0.546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0.543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Exp-saturation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0.668 × (1 - exp(-11.85 × IPD))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0.543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2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86C1"/>
          <w:sz w:val="26"/>
          <w:szCs w:val="26"/>
        </w:rPr>
        <w:t xml:space="preserve">Analysis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• Log-IPD and Linear-IPD tie at R² = 0.555, indicating a near-linear relationship between log-transformed IPD and reduction ratio.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• The Power-IPD model (R² = 0.543) suggests a sublinear scaling (exponent 0.546 &lt; 1), consistent with diminishing returns at high IPD values.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• The Exp-saturation model (R² = 0.543) models a physical ceiling at 66.8% reduction, with rapid saturation (rate = 11.85). This is physically motivated: there is a maximum achievable reduction.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B4F72"/>
          <w:sz w:val="30"/>
          <w:szCs w:val="30"/>
        </w:rPr>
        <w:t xml:space="preserve">Section 4 — Polynomial Model (Overfit Warning)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A 6-feature polynomial model was fitted to explore whether nonlinear feature interactions could improve prediction. While achieving perfect training fit, this model exhibits classic overfitting signatures.</w:t>
      </w:r>
    </w:p>
    <w:p>
      <w:pPr>
        <w:spacing w:after="80"/>
        <w:ind w:left="576"/>
      </w:pPr>
      <w:r>
        <w:rPr>
          <w:rFonts w:ascii="Calibri" w:cs="Calibri" w:eastAsia="Calibri" w:hAnsi="Calibri"/>
          <w:color w:val="2E86C1"/>
          <w:sz w:val="22"/>
          <w:szCs w:val="22"/>
        </w:rPr>
        <w:t xml:space="preserve">▸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Training R²: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1.000 (perfect fit)</w:t>
      </w:r>
    </w:p>
    <w:p>
      <w:pPr>
        <w:spacing w:after="80"/>
        <w:ind w:left="576"/>
      </w:pPr>
      <w:r>
        <w:rPr>
          <w:rFonts w:ascii="Calibri" w:cs="Calibri" w:eastAsia="Calibri" w:hAnsi="Calibri"/>
          <w:color w:val="2E86C1"/>
          <w:sz w:val="22"/>
          <w:szCs w:val="22"/>
        </w:rPr>
        <w:t xml:space="preserve">▸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Number of samples: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15 (circuit family means)</w:t>
      </w:r>
    </w:p>
    <w:p>
      <w:pPr>
        <w:spacing w:after="80"/>
        <w:ind w:left="576"/>
      </w:pPr>
      <w:r>
        <w:rPr>
          <w:rFonts w:ascii="Calibri" w:cs="Calibri" w:eastAsia="Calibri" w:hAnsi="Calibri"/>
          <w:color w:val="2E86C1"/>
          <w:sz w:val="22"/>
          <w:szCs w:val="22"/>
        </w:rPr>
        <w:t xml:space="preserve">▸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Number of features: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6 (polynomial terms)</w:t>
      </w:r>
    </w:p>
    <w:p>
      <w:pPr>
        <w:spacing w:after="80"/>
        <w:ind w:left="576"/>
      </w:pPr>
      <w:r>
        <w:rPr>
          <w:rFonts w:ascii="Calibri" w:cs="Calibri" w:eastAsia="Calibri" w:hAnsi="Calibri"/>
          <w:color w:val="2E86C1"/>
          <w:sz w:val="22"/>
          <w:szCs w:val="22"/>
        </w:rPr>
        <w:t xml:space="preserve">▸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Parameters-to-samples ratio: </w:t>
      </w:r>
      <w:r>
        <w:rPr>
          <w:rFonts w:ascii="Calibri" w:cs="Calibri" w:eastAsia="Calibri" w:hAnsi="Calibri"/>
          <w:color w:val="E74C3C"/>
          <w:sz w:val="22"/>
          <w:szCs w:val="22"/>
        </w:rPr>
        <w:t xml:space="preserve">WARNING — extremely high risk of overfitting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86C1"/>
          <w:sz w:val="26"/>
          <w:szCs w:val="26"/>
        </w:rPr>
        <w:t xml:space="preserve">Top Polynomial Terms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Coefficient</w:t>
            </w:r>
          </w:p>
        </w:tc>
        <w:tc>
          <w:tcPr>
            <w:tcW w:type="dxa" w:w="3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Physical Meaning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structural_upper_bound²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-0.410</w:t>
            </w:r>
          </w:p>
        </w:tc>
        <w:tc>
          <w:tcPr>
            <w:tcW w:type="dxa" w:w="3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Quadratic saturation of theoretical ceiling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n_qubits × structural_upper_bound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0.272</w:t>
            </w:r>
          </w:p>
        </w:tc>
        <w:tc>
          <w:tcPr>
            <w:tcW w:type="dxa" w:w="3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Scaling benefits for larger circuits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two_qubit_ratio × structural_upper_bound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-0.260</w:t>
            </w:r>
          </w:p>
        </w:tc>
        <w:tc>
          <w:tcPr>
            <w:tcW w:type="dxa" w:w="3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Diminishing returns for 2Q-heavy circuits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intercept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0.012</w:t>
            </w:r>
          </w:p>
        </w:tc>
        <w:tc>
          <w:tcPr>
            <w:tcW w:type="dxa" w:w="3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Baseline reduction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n_qubits²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-0.003</w:t>
            </w:r>
          </w:p>
        </w:tc>
        <w:tc>
          <w:tcPr>
            <w:tcW w:type="dxa" w:w="3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Quadratic qubit penalty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two_qubit_ratio²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0.045</w:t>
            </w:r>
          </w:p>
        </w:tc>
        <w:tc>
          <w:tcPr>
            <w:tcW w:type="dxa" w:w="3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Quadratic 2Q-gate effect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/>
      </w:r>
    </w:p>
    <w:p>
      <w:pPr>
        <w:pBdr>
          <w:left w:val="single" w:color="E67E22" w:sz="8"/>
        </w:pBdr>
        <w:shd w:fill="FDEBD0" w:val="clear"/>
        <w:spacing w:after="160" w:before="160"/>
        <w:ind w:left="431" w:right="431"/>
      </w:pPr>
      <w:r>
        <w:rPr>
          <w:rFonts w:ascii="Calibri" w:cs="Calibri" w:eastAsia="Calibri" w:hAnsi="Calibri"/>
          <w:b/>
          <w:bCs/>
          <w:color w:val="E67E22"/>
          <w:sz w:val="22"/>
          <w:szCs w:val="22"/>
        </w:rPr>
        <w:t xml:space="preserve">KEY FINDING: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R² = 1.0 on 15 samples with 6 features is almost certainly overfit. The model should NOT be used for prediction on new circuit families. It is included for completeness only.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B4F72"/>
          <w:sz w:val="30"/>
          <w:szCs w:val="30"/>
        </w:rPr>
        <w:t xml:space="preserve">Section 5 — Machine Learning Models (5-Fold Cross-Validation)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Three machine learning models were evaluated using 5-fold cross-validation on the full n=45 dataset (15 families × 3 optimizers). All models show severe overfitting.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86C1"/>
          <w:sz w:val="26"/>
          <w:szCs w:val="26"/>
        </w:rPr>
        <w:t xml:space="preserve">Cross-Validation Results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CV R² Mean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CV R² Std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CV MAE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CV RMSE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Train R²</w:t>
            </w:r>
          </w:p>
        </w:tc>
      </w:tr>
      <w:tr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Linear Regression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-7.32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14.37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0.108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0.204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0.631</w:t>
            </w:r>
          </w:p>
        </w:tc>
      </w:tr>
      <w:tr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-0.18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1.47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0.044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0.084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0.979</w:t>
            </w:r>
          </w:p>
        </w:tc>
      </w:tr>
      <w:tr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Gradient Boosting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-0.14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1.55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0.036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0.063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0.999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86C1"/>
          <w:sz w:val="26"/>
          <w:szCs w:val="26"/>
        </w:rPr>
        <w:t xml:space="preserve">Overfitting Diagnosis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• Negative CV R²: All three models perform worse than a trivial mean-predictor on held-out folds. This is the hallmark of overfitting on small datasets.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• Extreme variance: Linear regression shows CV R² standard deviation of 14.37, indicating extreme sensitivity to fold composition.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• Training vs. CV gap: Gradient Boosting achieves 0.999 training R² but -0.14 CV R², a gap of over 1.1 R² units.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• Sample size: With n=45, even simple models struggle. The 5-fold splits leave only 36 training samples per fold.</w:t>
      </w:r>
    </w:p>
    <w:p>
      <w:pPr>
        <w:pBdr>
          <w:left w:val="single" w:color="E67E22" w:sz="8"/>
        </w:pBdr>
        <w:shd w:fill="FDEBD0" w:val="clear"/>
        <w:spacing w:after="160" w:before="160"/>
        <w:ind w:left="431" w:right="431"/>
      </w:pPr>
      <w:r>
        <w:rPr>
          <w:rFonts w:ascii="Calibri" w:cs="Calibri" w:eastAsia="Calibri" w:hAnsi="Calibri"/>
          <w:b/>
          <w:bCs/>
          <w:color w:val="E67E22"/>
          <w:sz w:val="22"/>
          <w:szCs w:val="22"/>
        </w:rPr>
        <w:t xml:space="preserve">KEY FINDING: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Negative CV R² indicates overfitting on the small dataset (n=45). Despite excellent training fit, ML models generalize poorly. They should not be used for prediction on unseen circuit families without substantially more training data.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B4F72"/>
          <w:sz w:val="30"/>
          <w:szCs w:val="30"/>
        </w:rPr>
        <w:t xml:space="preserve">Section 6 — Model Selection Recommendation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Based on the comprehensive evaluation above, we recommend the following model hierarchy: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86C1"/>
          <w:sz w:val="26"/>
          <w:szCs w:val="26"/>
        </w:rPr>
        <w:t xml:space="preserve">Primary Recommendation: Multilinear Model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Use the multilinear model for both interpretation and prediction:</w:t>
      </w:r>
    </w:p>
    <w:p>
      <w:pPr>
        <w:pBdr>
          <w:left w:val="single" w:color="2E86C1" w:sz="6"/>
        </w:pBdr>
        <w:shd w:fill="ECF0F1" w:val="clear"/>
        <w:spacing w:after="160" w:before="160"/>
        <w:ind w:left="720" w:right="720"/>
        <w:jc w:val="center"/>
      </w:pPr>
      <w:r>
        <w:rPr>
          <w:rFonts w:ascii="Consolas" w:cs="Consolas" w:eastAsia="Consolas" w:hAnsi="Consolas"/>
          <w:b/>
          <w:bCs/>
          <w:color w:val="1B4F72"/>
          <w:sz w:val="24"/>
          <w:szCs w:val="24"/>
        </w:rPr>
        <w:t xml:space="preserve">reduction = 1.102 × commutation_density + 1.332 × inverse_pair_density + 0.001</w:t>
      </w:r>
    </w:p>
    <w:p>
      <w:pPr>
        <w:spacing w:after="80"/>
        <w:ind w:left="576"/>
      </w:pPr>
      <w:r>
        <w:rPr>
          <w:rFonts w:ascii="Calibri" w:cs="Calibri" w:eastAsia="Calibri" w:hAnsi="Calibri"/>
          <w:color w:val="2E86C1"/>
          <w:sz w:val="22"/>
          <w:szCs w:val="22"/>
        </w:rPr>
        <w:t xml:space="preserve">▸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R²: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0.626</w:t>
      </w:r>
    </w:p>
    <w:p>
      <w:pPr>
        <w:spacing w:after="80"/>
        <w:ind w:left="576"/>
      </w:pPr>
      <w:r>
        <w:rPr>
          <w:rFonts w:ascii="Calibri" w:cs="Calibri" w:eastAsia="Calibri" w:hAnsi="Calibri"/>
          <w:color w:val="2E86C1"/>
          <w:sz w:val="22"/>
          <w:szCs w:val="22"/>
        </w:rPr>
        <w:t xml:space="preserve">▸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Interpretability: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Excellent — each coefficient has clear physical meaning</w:t>
      </w:r>
    </w:p>
    <w:p>
      <w:pPr>
        <w:spacing w:after="80"/>
        <w:ind w:left="576"/>
      </w:pPr>
      <w:r>
        <w:rPr>
          <w:rFonts w:ascii="Calibri" w:cs="Calibri" w:eastAsia="Calibri" w:hAnsi="Calibri"/>
          <w:color w:val="2E86C1"/>
          <w:sz w:val="22"/>
          <w:szCs w:val="22"/>
        </w:rPr>
        <w:t xml:space="preserve">▸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Robustness: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Both features significant at p &lt; 0.001</w:t>
      </w:r>
    </w:p>
    <w:p>
      <w:pPr>
        <w:spacing w:after="80"/>
        <w:ind w:left="576"/>
      </w:pPr>
      <w:r>
        <w:rPr>
          <w:rFonts w:ascii="Calibri" w:cs="Calibri" w:eastAsia="Calibri" w:hAnsi="Calibri"/>
          <w:color w:val="2E86C1"/>
          <w:sz w:val="22"/>
          <w:szCs w:val="22"/>
        </w:rPr>
        <w:t xml:space="preserve">▸ </w:t>
      </w: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Computational cost: 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O(m) where m = gate count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86C1"/>
          <w:sz w:val="26"/>
          <w:szCs w:val="26"/>
        </w:rPr>
        <w:t xml:space="preserve">Rationale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Despite R² = 0.626 leaving approximately 37% unexplained variance, the multilinear model captures the two most important causal mechanisms driving quantum circuit optimization:</w:t>
      </w:r>
    </w:p>
    <w:p>
      <w:pPr>
        <w:spacing w:after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1. Inverse pair density — directly quantifies Phase-1 cancellation opportunities</w:t>
      </w:r>
    </w:p>
    <w:p>
      <w:pPr>
        <w:spacing w:after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2. Commutation density — quantifies Phase-2 gate rearrangement potential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/>
      </w:r>
    </w:p>
    <w:p>
      <w:pPr>
        <w:spacing w:after="2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Machine learning models, while achieving near-perfect training fit, overfit catastrophically on the available data and provide no interpretability. The multilinear model is the scientifically sound choice.</w:t>
      </w:r>
    </w:p>
    <w:p>
      <w:pPr>
        <w:pBdr>
          <w:top w:val="single" w:color="95A5A6" w:sz="2"/>
        </w:pBdr>
        <w:spacing w:before="300"/>
        <w:jc w:val="center"/>
      </w:pPr>
      <w:r>
        <w:rPr>
          <w:rFonts w:ascii="Calibri" w:cs="Calibri" w:eastAsia="Calibri" w:hAnsi="Calibri"/>
          <w:i/>
          <w:iCs/>
          <w:color w:val="95A5A6"/>
          <w:sz w:val="20"/>
          <w:szCs w:val="20"/>
        </w:rPr>
        <w:t xml:space="preserve">End of Deliverable 2</w:t>
      </w:r>
    </w:p>
    <w:sectPr>
      <w:headerReference w:type="default" r:id="rId7"/>
      <w:footerReference w:type="default" r:id="rId8"/>
      <w:pgSz w:w="12240" w:h="15840" w:orient="portrait"/>
      <w:pgMar w:top="1440" w:right="1440" w:bottom="1152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5A5A6"/>
        <w:sz w:val="16"/>
        <w:szCs w:val="16"/>
      </w:rPr>
      <w:t xml:space="preserve">Page </w:t>
    </w:r>
    <w:r>
      <w:rPr>
        <w:rFonts w:ascii="Calibri" w:cs="Calibri" w:eastAsia="Calibri" w:hAnsi="Calibri"/>
        <w:color w:val="95A5A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5A5A6"/>
        <w:sz w:val="16"/>
        <w:szCs w:val="16"/>
      </w:rPr>
      <w:t xml:space="preserve"> of </w:t>
    </w:r>
    <w:r>
      <w:rPr>
        <w:rFonts w:ascii="Calibri" w:cs="Calibri" w:eastAsia="Calibri" w:hAnsi="Calibri"/>
        <w:color w:val="95A5A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95A5A6"/>
        <w:sz w:val="16"/>
        <w:szCs w:val="16"/>
      </w:rPr>
      <w:t xml:space="preserve">Quantum Circuit Optimization — Candidate Models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C3E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2026-06-11T14:25:56.079Z</dcterms:created>
  <dcterms:modified xsi:type="dcterms:W3CDTF">2026-06-11T14:25:56.080Z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