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4299E1"/>
          <w:spacing w:val="200"/>
          <w:sz w:val="24"/>
          <w:szCs w:val="24"/>
        </w:rPr>
        <w:t xml:space="preserve">DELIVERABLE 7</w:t>
      </w:r>
    </w:p>
    <w:p>
      <w:pPr>
        <w:pBdr>
          <w:bottom w:val="single" w:color="1A3C5E" w:sz="2"/>
        </w:pBdr>
        <w:spacing w:after="120"/>
        <w:jc w:val="center"/>
      </w:pPr>
    </w:p>
    <w:p>
      <w:pPr>
        <w:spacing w:after="80"/>
      </w:pPr>
    </w:p>
    <w:p>
      <w:pPr>
        <w:spacing w:after="80"/>
        <w:jc w:val="center"/>
      </w:pPr>
      <w:r>
        <w:rPr>
          <w:rFonts w:ascii="Calibri" w:cs="Calibri" w:eastAsia="Calibri" w:hAnsi="Calibri"/>
          <w:b/>
          <w:bCs/>
          <w:color w:val="1A3C5E"/>
          <w:sz w:val="36"/>
          <w:szCs w:val="36"/>
        </w:rPr>
        <w:t xml:space="preserve">Publication Strategy and Narrative Recommendation for Structural Ceiling Research</w:t>
      </w:r>
    </w:p>
    <w:p>
      <w:pPr>
        <w:spacing w:after="60"/>
      </w:pPr>
    </w:p>
    <w:p>
      <w:pPr>
        <w:spacing w:after="40"/>
        <w:jc w:val="center"/>
      </w:pPr>
      <w:r>
        <w:rPr>
          <w:rFonts w:ascii="Calibri" w:cs="Calibri" w:eastAsia="Calibri" w:hAnsi="Calibri"/>
          <w:i/>
          <w:iCs/>
          <w:color w:val="2B6CB0"/>
          <w:sz w:val="22"/>
          <w:szCs w:val="22"/>
        </w:rPr>
        <w:t xml:space="preserve">Quantum Circuit Optimization Research Project</w:t>
      </w:r>
    </w:p>
    <w:p>
      <w:pPr>
        <w:spacing w:after="40"/>
        <w:jc w:val="center"/>
      </w:pPr>
      <w:r>
        <w:rPr>
          <w:rFonts w:ascii="Calibri" w:cs="Calibri" w:eastAsia="Calibri" w:hAnsi="Calibri"/>
          <w:color w:val="1A202C"/>
          <w:sz w:val="20"/>
          <w:szCs w:val="20"/>
        </w:rPr>
        <w:t xml:space="preserve">Strategic Publication Planning and Narrative Positioning</w:t>
      </w:r>
    </w:p>
    <w:p>
      <w:pPr>
        <w:spacing w:after="200"/>
      </w:pPr>
    </w:p>
    <w:tbl>
      <w:tblPr>
        <w:tblW w:type="pct" w:w="60%"/>
        <w:jc w:val="center"/>
        <w:tblBorders>
          <w:top w:val="single" w:color="A0AEC0" w:sz="1"/>
          <w:left w:val="single" w:color="A0AEC0" w:sz="1"/>
          <w:bottom w:val="single" w:color="A0AEC0" w:sz="1"/>
          <w:right w:val="single" w:color="A0AEC0" w:sz="1"/>
          <w:insideH w:val="single" w:color="A0AEC0" w:sz="1"/>
          <w:insideV w:val="single" w:color="A0AEC0" w:sz="1"/>
        </w:tblBorders>
      </w:tblPr>
      <w:tblGrid>
        <w:gridCol w:w="100"/>
        <w:gridCol w:w="100"/>
      </w:tblGrid>
      <w:tr>
        <w:tc>
          <w:tcPr>
            <w:tcW w:type="pct" w:w="40%"/>
            <w:shd w:fill="EBF4FF" w:color="EBF4FF" w:val="solid"/>
            <w:tcMar>
              <w:top w:type="dxa" w:w="40"/>
              <w:left w:type="dxa" w:w="80"/>
              <w:bottom w:type="dxa" w:w="40"/>
              <w:right w:type="dxa" w:w="80"/>
            </w:tcMar>
          </w:tcPr>
          <w:p>
            <w:pPr>
              <w:spacing w:after="0"/>
            </w:pPr>
            <w:r>
              <w:rPr>
                <w:rFonts w:ascii="Calibri" w:cs="Calibri" w:eastAsia="Calibri" w:hAnsi="Calibri"/>
                <w:b/>
                <w:bCs/>
                <w:color w:val="2B6CB0"/>
                <w:sz w:val="20"/>
                <w:szCs w:val="20"/>
              </w:rPr>
              <w:t xml:space="preserve">Document ID</w:t>
            </w:r>
          </w:p>
        </w:tc>
        <w:tc>
          <w:tcPr>
            <w:tcW w:type="pct" w:w="60%"/>
            <w:tcMar>
              <w:top w:type="dxa" w:w="40"/>
              <w:left w:type="dxa" w:w="80"/>
              <w:bottom w:type="dxa" w:w="40"/>
              <w:right w:type="dxa" w:w="80"/>
            </w:tcMar>
          </w:tcPr>
          <w:p>
            <w:pPr>
              <w:spacing w:after="0"/>
            </w:pPr>
            <w:r>
              <w:rPr>
                <w:rFonts w:ascii="Calibri" w:cs="Calibri" w:eastAsia="Calibri" w:hAnsi="Calibri"/>
                <w:color w:val="1A202C"/>
                <w:sz w:val="20"/>
                <w:szCs w:val="20"/>
              </w:rPr>
              <w:t xml:space="preserve">D7</w:t>
            </w:r>
          </w:p>
        </w:tc>
      </w:tr>
      <w:tr>
        <w:tc>
          <w:tcPr>
            <w:tcW w:type="pct" w:w="40%"/>
            <w:shd w:fill="EBF4FF" w:color="EBF4FF" w:val="solid"/>
            <w:tcMar>
              <w:top w:type="dxa" w:w="40"/>
              <w:left w:type="dxa" w:w="80"/>
              <w:bottom w:type="dxa" w:w="40"/>
              <w:right w:type="dxa" w:w="80"/>
            </w:tcMar>
          </w:tcPr>
          <w:p>
            <w:pPr>
              <w:spacing w:after="0"/>
            </w:pPr>
            <w:r>
              <w:rPr>
                <w:rFonts w:ascii="Calibri" w:cs="Calibri" w:eastAsia="Calibri" w:hAnsi="Calibri"/>
                <w:b/>
                <w:bCs/>
                <w:color w:val="2B6CB0"/>
                <w:sz w:val="20"/>
                <w:szCs w:val="20"/>
              </w:rPr>
              <w:t xml:space="preserve">Version</w:t>
            </w:r>
          </w:p>
        </w:tc>
        <w:tc>
          <w:tcPr>
            <w:tcW w:type="pct" w:w="60%"/>
            <w:tcMar>
              <w:top w:type="dxa" w:w="40"/>
              <w:left w:type="dxa" w:w="80"/>
              <w:bottom w:type="dxa" w:w="40"/>
              <w:right w:type="dxa" w:w="80"/>
            </w:tcMar>
          </w:tcPr>
          <w:p>
            <w:pPr>
              <w:spacing w:after="0"/>
            </w:pPr>
            <w:r>
              <w:rPr>
                <w:rFonts w:ascii="Calibri" w:cs="Calibri" w:eastAsia="Calibri" w:hAnsi="Calibri"/>
                <w:color w:val="1A202C"/>
                <w:sz w:val="20"/>
                <w:szCs w:val="20"/>
              </w:rPr>
              <w:t xml:space="preserve">1.0</w:t>
            </w:r>
          </w:p>
        </w:tc>
      </w:tr>
      <w:tr>
        <w:tc>
          <w:tcPr>
            <w:tcW w:type="pct" w:w="40%"/>
            <w:shd w:fill="EBF4FF" w:color="EBF4FF" w:val="solid"/>
            <w:tcMar>
              <w:top w:type="dxa" w:w="40"/>
              <w:left w:type="dxa" w:w="80"/>
              <w:bottom w:type="dxa" w:w="40"/>
              <w:right w:type="dxa" w:w="80"/>
            </w:tcMar>
          </w:tcPr>
          <w:p>
            <w:pPr>
              <w:spacing w:after="0"/>
            </w:pPr>
            <w:r>
              <w:rPr>
                <w:rFonts w:ascii="Calibri" w:cs="Calibri" w:eastAsia="Calibri" w:hAnsi="Calibri"/>
                <w:b/>
                <w:bCs/>
                <w:color w:val="2B6CB0"/>
                <w:sz w:val="20"/>
                <w:szCs w:val="20"/>
              </w:rPr>
              <w:t xml:space="preserve">Classification</w:t>
            </w:r>
          </w:p>
        </w:tc>
        <w:tc>
          <w:tcPr>
            <w:tcW w:type="pct" w:w="60%"/>
            <w:tcMar>
              <w:top w:type="dxa" w:w="40"/>
              <w:left w:type="dxa" w:w="80"/>
              <w:bottom w:type="dxa" w:w="40"/>
              <w:right w:type="dxa" w:w="80"/>
            </w:tcMar>
          </w:tcPr>
          <w:p>
            <w:pPr>
              <w:spacing w:after="0"/>
            </w:pPr>
            <w:r>
              <w:rPr>
                <w:rFonts w:ascii="Calibri" w:cs="Calibri" w:eastAsia="Calibri" w:hAnsi="Calibri"/>
                <w:color w:val="1A202C"/>
                <w:sz w:val="20"/>
                <w:szCs w:val="20"/>
              </w:rPr>
              <w:t xml:space="preserve">Strategic Recommendation</w:t>
            </w:r>
          </w:p>
        </w:tc>
      </w:tr>
      <w:tr>
        <w:tc>
          <w:tcPr>
            <w:tcW w:type="pct" w:w="40%"/>
            <w:shd w:fill="EBF4FF" w:color="EBF4FF" w:val="solid"/>
            <w:tcMar>
              <w:top w:type="dxa" w:w="40"/>
              <w:left w:type="dxa" w:w="80"/>
              <w:bottom w:type="dxa" w:w="40"/>
              <w:right w:type="dxa" w:w="80"/>
            </w:tcMar>
          </w:tcPr>
          <w:p>
            <w:pPr>
              <w:spacing w:after="0"/>
            </w:pPr>
            <w:r>
              <w:rPr>
                <w:rFonts w:ascii="Calibri" w:cs="Calibri" w:eastAsia="Calibri" w:hAnsi="Calibri"/>
                <w:b/>
                <w:bCs/>
                <w:color w:val="2B6CB0"/>
                <w:sz w:val="20"/>
                <w:szCs w:val="20"/>
              </w:rPr>
              <w:t xml:space="preserve">Status</w:t>
            </w:r>
          </w:p>
        </w:tc>
        <w:tc>
          <w:tcPr>
            <w:tcW w:type="pct" w:w="60%"/>
            <w:tcMar>
              <w:top w:type="dxa" w:w="40"/>
              <w:left w:type="dxa" w:w="80"/>
              <w:bottom w:type="dxa" w:w="40"/>
              <w:right w:type="dxa" w:w="80"/>
            </w:tcMar>
          </w:tcPr>
          <w:p>
            <w:pPr>
              <w:spacing w:after="0"/>
            </w:pPr>
            <w:r>
              <w:rPr>
                <w:rFonts w:ascii="Calibri" w:cs="Calibri" w:eastAsia="Calibri" w:hAnsi="Calibri"/>
                <w:color w:val="1A202C"/>
                <w:sz w:val="20"/>
                <w:szCs w:val="20"/>
              </w:rPr>
              <w:t xml:space="preserve">Final</w:t>
            </w:r>
          </w:p>
        </w:tc>
      </w:tr>
      <w:tr>
        <w:tc>
          <w:tcPr>
            <w:tcW w:type="pct" w:w="40%"/>
            <w:shd w:fill="EBF4FF" w:color="EBF4FF" w:val="solid"/>
            <w:tcMar>
              <w:top w:type="dxa" w:w="40"/>
              <w:left w:type="dxa" w:w="80"/>
              <w:bottom w:type="dxa" w:w="40"/>
              <w:right w:type="dxa" w:w="80"/>
            </w:tcMar>
          </w:tcPr>
          <w:p>
            <w:pPr>
              <w:spacing w:after="0"/>
            </w:pPr>
            <w:r>
              <w:rPr>
                <w:rFonts w:ascii="Calibri" w:cs="Calibri" w:eastAsia="Calibri" w:hAnsi="Calibri"/>
                <w:b/>
                <w:bCs/>
                <w:color w:val="2B6CB0"/>
                <w:sz w:val="20"/>
                <w:szCs w:val="20"/>
              </w:rPr>
              <w:t xml:space="preserve">Confidentiality</w:t>
            </w:r>
          </w:p>
        </w:tc>
        <w:tc>
          <w:tcPr>
            <w:tcW w:type="pct" w:w="60%"/>
            <w:tcMar>
              <w:top w:type="dxa" w:w="40"/>
              <w:left w:type="dxa" w:w="80"/>
              <w:bottom w:type="dxa" w:w="40"/>
              <w:right w:type="dxa" w:w="80"/>
            </w:tcMar>
          </w:tcPr>
          <w:p>
            <w:pPr>
              <w:spacing w:after="0"/>
            </w:pPr>
            <w:r>
              <w:rPr>
                <w:rFonts w:ascii="Calibri" w:cs="Calibri" w:eastAsia="Calibri" w:hAnsi="Calibri"/>
                <w:color w:val="1A202C"/>
                <w:sz w:val="20"/>
                <w:szCs w:val="20"/>
              </w:rPr>
              <w:t xml:space="preserve">Internal — Research Team Only</w:t>
            </w:r>
          </w:p>
        </w:tc>
      </w:tr>
    </w:tbl>
    <w:p>
      <w:pPr>
        <w:spacing w:after="300"/>
      </w:pPr>
    </w:p>
    <w:p>
      <w:pPr>
        <w:pBdr>
          <w:bottom w:val="single" w:color="A0AEC0" w:sz="1"/>
        </w:pBdr>
        <w:spacing w:after="120" w:before="120"/>
      </w:pPr>
    </w:p>
    <w:p>
      <w:pPr>
        <w:pStyle w:val="Heading1"/>
        <w:spacing w:after="120" w:before="360"/>
      </w:pPr>
      <w:r>
        <w:rPr>
          <w:rFonts w:ascii="Calibri" w:cs="Calibri" w:eastAsia="Calibri" w:hAnsi="Calibri"/>
          <w:b/>
          <w:bCs/>
          <w:color w:val="1A3C5E"/>
          <w:sz w:val="32"/>
          <w:szCs w:val="32"/>
        </w:rPr>
        <w:t xml:space="preserve">1. Executive Summary</w:t>
      </w:r>
    </w:p>
    <w:p>
      <w:pPr>
        <w:spacing w:after="120" w:line="276"/>
      </w:pPr>
      <w:r>
        <w:rPr>
          <w:rFonts w:ascii="Calibri" w:cs="Calibri" w:eastAsia="Calibri" w:hAnsi="Calibri"/>
          <w:color w:val="1A202C"/>
          <w:sz w:val="22"/>
          <w:szCs w:val="22"/>
        </w:rPr>
        <w:t xml:space="preserve">After comprehensive analysis of 47,401 experimental rows, 8 validated claims, 11 stress tests, and a systematic literature review covering 50+ papers, we recommend a single integrated paper targeting the journal Quantum (30–40% acceptance rate) or ACM Transactions on Quantum Computing (35–45% acceptance rate).</w:t>
      </w:r>
    </w:p>
    <w:p>
      <w:pPr>
        <w:spacing w:after="60"/>
      </w:pP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40"/>
            </w:pPr>
            <w:r>
              <w:rPr>
                <w:rFonts w:ascii="Calibri" w:cs="Calibri" w:eastAsia="Calibri" w:hAnsi="Calibri"/>
                <w:b/>
                <w:bCs/>
                <w:color w:val="2B6CB0"/>
                <w:sz w:val="21"/>
                <w:szCs w:val="21"/>
              </w:rPr>
              <w:t xml:space="preserve">Core Recommendation</w:t>
            </w:r>
          </w:p>
          <w:p>
            <w:pPr>
              <w:spacing w:after="0" w:line="276"/>
            </w:pPr>
            <w:r>
              <w:rPr>
                <w:rFonts w:ascii="Calibri" w:cs="Calibri" w:eastAsia="Calibri" w:hAnsi="Calibri"/>
                <w:color w:val="1A202C"/>
                <w:sz w:val="20"/>
                <w:szCs w:val="20"/>
              </w:rPr>
              <w:t xml:space="preserve">Submit a single integrated paper to Quantum (primary target) or ACM TQC (secondary target). Lead with the Structural Ceiling Theory, support with benchmark data, validate with the prediction model, and demonstrate with the Optimize-or-Skip framework. Post an arXiv preprint immediately to establish priority.</w:t>
            </w:r>
          </w:p>
        </w:tc>
      </w:tr>
    </w:tbl>
    <w:p>
      <w:pPr>
        <w:spacing w:after="60"/>
      </w:pPr>
    </w:p>
    <w:p>
      <w:pPr>
        <w:spacing w:after="120" w:line="276"/>
      </w:pPr>
      <w:r>
        <w:rPr>
          <w:rFonts w:ascii="Calibri" w:cs="Calibri" w:eastAsia="Calibri" w:hAnsi="Calibri"/>
          <w:color w:val="1A202C"/>
          <w:sz w:val="22"/>
          <w:szCs w:val="22"/>
        </w:rPr>
        <w:t xml:space="preserve">This recommendation synthesizes findings from all preceding deliverables into a coherent publication strategy, identifying the strongest narrative thread, addressing potential reviewer objections, and providing a concrete roadmap from manuscript preparation to submission.</w:t>
      </w:r>
    </w:p>
    <w:p>
      <w:pPr>
        <w:pStyle w:val="Heading1"/>
        <w:spacing w:after="120" w:before="360"/>
      </w:pPr>
      <w:r>
        <w:rPr>
          <w:rFonts w:ascii="Calibri" w:cs="Calibri" w:eastAsia="Calibri" w:hAnsi="Calibri"/>
          <w:b/>
          <w:bCs/>
          <w:color w:val="1A3C5E"/>
          <w:sz w:val="32"/>
          <w:szCs w:val="32"/>
        </w:rPr>
        <w:t xml:space="preserve">2. Recommended Paper Narrative</w:t>
      </w:r>
    </w:p>
    <w:p>
      <w:pPr>
        <w:pStyle w:val="Heading2"/>
        <w:spacing w:after="120" w:before="240"/>
      </w:pPr>
      <w:r>
        <w:rPr>
          <w:rFonts w:ascii="Calibri" w:cs="Calibri" w:eastAsia="Calibri" w:hAnsi="Calibri"/>
          <w:b/>
          <w:bCs/>
          <w:color w:val="2B6CB0"/>
          <w:sz w:val="26"/>
          <w:szCs w:val="26"/>
        </w:rPr>
        <w:t xml:space="preserve">2.1 Central Thesis</w:t>
      </w: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60"/>
            </w:pPr>
            <w:r>
              <w:rPr>
                <w:rFonts w:ascii="Calibri" w:cs="Calibri" w:eastAsia="Calibri" w:hAnsi="Calibri"/>
                <w:b/>
                <w:bCs/>
                <w:color w:val="2B6CB0"/>
                <w:sz w:val="21"/>
                <w:szCs w:val="21"/>
              </w:rPr>
              <w:t xml:space="preserve">Paper Thesis</w:t>
            </w:r>
          </w:p>
          <w:p>
            <w:pPr>
              <w:spacing w:after="0" w:line="276"/>
            </w:pPr>
            <w:r>
              <w:rPr>
                <w:rFonts w:ascii="Calibri" w:cs="Calibri" w:eastAsia="Calibri" w:hAnsi="Calibri"/>
                <w:i/>
                <w:iCs/>
                <w:color w:val="1A202C"/>
                <w:sz w:val="20"/>
                <w:szCs w:val="20"/>
              </w:rPr>
              <w:t xml:space="preserve">Peephole optimization effectiveness in quantum circuits is determined by circuit family structure, not algorithm choice. Two computable structural features — inverse pair density and commutation density — jointly predict optimization potential via a universal law (R²=0.626). A structural ceiling precludes further reduction for 10 of 15 major circuit families.</w:t>
            </w:r>
          </w:p>
        </w:tc>
      </w:tr>
    </w:tbl>
    <w:p>
      <w:pPr>
        <w:spacing w:after="80"/>
      </w:pPr>
    </w:p>
    <w:p>
      <w:pPr>
        <w:pStyle w:val="Heading2"/>
        <w:spacing w:after="120" w:before="240"/>
      </w:pPr>
      <w:r>
        <w:rPr>
          <w:rFonts w:ascii="Calibri" w:cs="Calibri" w:eastAsia="Calibri" w:hAnsi="Calibri"/>
          <w:b/>
          <w:bCs/>
          <w:color w:val="2B6CB0"/>
          <w:sz w:val="26"/>
          <w:szCs w:val="26"/>
        </w:rPr>
        <w:t xml:space="preserve">2.2 One-Sentence Pitch</w:t>
      </w: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60"/>
            </w:pPr>
            <w:r>
              <w:rPr>
                <w:rFonts w:ascii="Calibri" w:cs="Calibri" w:eastAsia="Calibri" w:hAnsi="Calibri"/>
                <w:b/>
                <w:bCs/>
                <w:color w:val="2B6CB0"/>
                <w:sz w:val="21"/>
                <w:szCs w:val="21"/>
              </w:rPr>
              <w:t xml:space="preserve">Elevator Pitch</w:t>
            </w:r>
          </w:p>
          <w:p>
            <w:pPr>
              <w:spacing w:after="0" w:line="276"/>
            </w:pPr>
            <w:r>
              <w:rPr>
                <w:rFonts w:ascii="Calibri" w:cs="Calibri" w:eastAsia="Calibri" w:hAnsi="Calibri"/>
                <w:b/>
                <w:bCs/>
                <w:color w:val="1A3C5E"/>
                <w:sz w:val="21"/>
                <w:szCs w:val="21"/>
              </w:rPr>
              <w:t xml:space="preserve">We provide the first empirically validated framework that predicts, from circuit structure alone and before running any optimizer, which quantum circuits can and cannot be improved by peephole optimization.</w:t>
            </w:r>
          </w:p>
        </w:tc>
      </w:tr>
    </w:tbl>
    <w:p>
      <w:pPr>
        <w:pStyle w:val="Heading1"/>
        <w:spacing w:after="120" w:before="360"/>
      </w:pPr>
      <w:r>
        <w:rPr>
          <w:rFonts w:ascii="Calibri" w:cs="Calibri" w:eastAsia="Calibri" w:hAnsi="Calibri"/>
          <w:b/>
          <w:bCs/>
          <w:color w:val="1A3C5E"/>
          <w:sz w:val="32"/>
          <w:szCs w:val="32"/>
        </w:rPr>
        <w:t xml:space="preserve">3. Title Options</w:t>
      </w:r>
    </w:p>
    <w:p>
      <w:pPr>
        <w:spacing w:after="120" w:line="276"/>
      </w:pPr>
      <w:r>
        <w:rPr>
          <w:rFonts w:ascii="Calibri" w:cs="Calibri" w:eastAsia="Calibri" w:hAnsi="Calibri"/>
          <w:color w:val="1A202C"/>
          <w:sz w:val="22"/>
          <w:szCs w:val="22"/>
        </w:rPr>
        <w:t xml:space="preserve">Three candidate titles are proposed, each emphasizing different aspects of the contribution:</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tblGrid>
      <w:tr>
        <w:trPr>
          <w:tblHeader/>
        </w:trPr>
        <w:tc>
          <w:tcPr>
            <w:tcW w:type="pct" w:w="6%"/>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w:t>
            </w:r>
          </w:p>
        </w:tc>
        <w:tc>
          <w:tcPr>
            <w:tcW w:type="pct" w:w="70%"/>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Title</w:t>
            </w:r>
          </w:p>
        </w:tc>
        <w:tc>
          <w:tcPr>
            <w:tcW w:type="pct" w:w="24%"/>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Emphasis</w:t>
            </w:r>
          </w:p>
        </w:tc>
      </w:tr>
      <w:tr>
        <w:tc>
          <w:tcPr>
            <w:tcW w:type="pct" w:w="6%"/>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1</w:t>
            </w:r>
          </w:p>
        </w:tc>
        <w:tc>
          <w:tcPr>
            <w:tcW w:type="pct" w:w="70%"/>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Structural Ceilings in Quantum Circuit Optimization: An Empirical Framework for Predicting Peephole Compression Limits</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Theory + Method</w:t>
            </w:r>
          </w:p>
        </w:tc>
      </w:tr>
      <w:tr>
        <w:tc>
          <w:tcPr>
            <w:tcW w:type="pct" w:w="6%"/>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2</w:t>
            </w:r>
          </w:p>
        </w:tc>
        <w:tc>
          <w:tcPr>
            <w:tcW w:type="pct" w:w="70%"/>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When Can Peephole Optimization Help? A Structural Analysis of 47,000 Quantum Circuit Trials</w:t>
            </w:r>
          </w:p>
        </w:tc>
        <w:tc>
          <w:tcPr>
            <w:tcW w:type="pct" w:w="24%"/>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Scale + Question-driven</w:t>
            </w:r>
          </w:p>
        </w:tc>
      </w:tr>
      <w:tr>
        <w:tc>
          <w:tcPr>
            <w:tcW w:type="pct" w:w="6%"/>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3</w:t>
            </w:r>
          </w:p>
        </w:tc>
        <w:tc>
          <w:tcPr>
            <w:tcW w:type="pct" w:w="70%"/>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The Optimization Ceiling: Circuit-Family-Dependent Limits on Quantum Gate Reduction</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Provocative + Accessible</w:t>
            </w:r>
          </w:p>
        </w:tc>
      </w:tr>
    </w:tbl>
    <w:p>
      <w:pPr>
        <w:spacing w:after="60"/>
      </w:pPr>
    </w:p>
    <w:p>
      <w:pPr>
        <w:spacing w:after="120" w:line="276"/>
      </w:pPr>
      <w:r>
        <w:rPr>
          <w:rFonts w:ascii="Calibri" w:cs="Calibri" w:eastAsia="Calibri" w:hAnsi="Calibri"/>
          <w:b/>
          <w:bCs/>
          <w:color w:val="1A3C5E"/>
          <w:sz w:val="22"/>
          <w:szCs w:val="22"/>
        </w:rPr>
        <w:t xml:space="preserve">Recommendation: </w:t>
      </w:r>
      <w:r>
        <w:rPr>
          <w:rFonts w:ascii="Calibri" w:cs="Calibri" w:eastAsia="Calibri" w:hAnsi="Calibri"/>
          <w:color w:val="1A202C"/>
          <w:sz w:val="22"/>
          <w:szCs w:val="22"/>
        </w:rPr>
        <w:t xml:space="preserve">Title 1 is recommended for its precision and completeness. It clearly signals both the theoretical contribution (structural ceilings) and the practical framework (empirical prediction). Title 2 is a strong alternative for broader-audience venues.</w:t>
      </w:r>
    </w:p>
    <w:p>
      <w:pPr>
        <w:pStyle w:val="Heading1"/>
        <w:spacing w:after="120" w:before="360"/>
      </w:pPr>
      <w:r>
        <w:rPr>
          <w:rFonts w:ascii="Calibri" w:cs="Calibri" w:eastAsia="Calibri" w:hAnsi="Calibri"/>
          <w:b/>
          <w:bCs/>
          <w:color w:val="1A3C5E"/>
          <w:sz w:val="32"/>
          <w:szCs w:val="32"/>
        </w:rPr>
        <w:t xml:space="preserve">4. Draft Abstract</w:t>
      </w:r>
    </w:p>
    <w:p>
      <w:pPr>
        <w:spacing w:after="120" w:line="276"/>
      </w:pPr>
      <w:r>
        <w:rPr>
          <w:rFonts w:ascii="Calibri" w:cs="Calibri" w:eastAsia="Calibri" w:hAnsi="Calibri"/>
          <w:color w:val="1A202C"/>
          <w:sz w:val="22"/>
          <w:szCs w:val="22"/>
        </w:rPr>
        <w:t xml:space="preserve">The following abstract (~200 words) encapsulates the complete paper narrative:</w:t>
      </w:r>
    </w:p>
    <w:p>
      <w:pPr>
        <w:spacing w:after="60"/>
      </w:pP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120"/>
              <w:left w:type="dxa" w:w="160"/>
              <w:bottom w:type="dxa" w:w="120"/>
              <w:right w:type="dxa" w:w="160"/>
            </w:tcMar>
          </w:tcPr>
          <w:p>
            <w:pPr>
              <w:spacing w:after="0" w:line="300"/>
            </w:pPr>
            <w:r>
              <w:rPr>
                <w:rFonts w:ascii="Calibri" w:cs="Calibri" w:eastAsia="Calibri" w:hAnsi="Calibri"/>
                <w:i/>
                <w:iCs/>
                <w:color w:val="1A202C"/>
                <w:sz w:val="20"/>
                <w:szCs w:val="20"/>
              </w:rPr>
              <w:t xml:space="preserve">We present a systematic framework for characterizing the fundamental limits of peephole optimization in quantum circuits. Through 47,401 controlled trials spanning 15 circuit families and 6 optimizer configurations, we discover that optimization effectiveness is determined by circuit family structure rather than algorithm choice. We formalize this through a structural ceiling theory: for any circuit C, Ceiling₁(C) bounds the maximum reduction achievable by adjacent-pair cancellation optimizers. Two computable structural features — inverse pair density (Pearson r=0.745) and commutation density (Spearman r=0.651) — jointly predict optimization outcomes via a universal law (R²=0.626). We prove that 10 of 15 major families (including QFT, QAOA, VQE, GHZ) are at structural ceiling, meaning no peephole optimizer can reduce them. We introduce an Optimize-or-Skip compiler framework that achieves 100% decision accuracy and 74.6% speedup by pre-analyzing circuit structure. A trichotomy classification emerges: Class I (incompressible), Class II (bounded compression), Class III (trivially compressible). These results reframe quantum compilation research from ‘how to optimize better’ to ‘when is optimization structurally possible.’</w:t>
            </w:r>
          </w:p>
        </w:tc>
      </w:tr>
    </w:tbl>
    <w:p>
      <w:pPr>
        <w:pStyle w:val="Heading1"/>
        <w:spacing w:after="120" w:before="360"/>
      </w:pPr>
      <w:r>
        <w:rPr>
          <w:rFonts w:ascii="Calibri" w:cs="Calibri" w:eastAsia="Calibri" w:hAnsi="Calibri"/>
          <w:b/>
          <w:bCs/>
          <w:color w:val="1A3C5E"/>
          <w:sz w:val="32"/>
          <w:szCs w:val="32"/>
        </w:rPr>
        <w:t xml:space="preserve">5. Contribution Rankings</w:t>
      </w:r>
    </w:p>
    <w:p>
      <w:pPr>
        <w:spacing w:after="120" w:line="276"/>
      </w:pPr>
      <w:r>
        <w:rPr>
          <w:rFonts w:ascii="Calibri" w:cs="Calibri" w:eastAsia="Calibri" w:hAnsi="Calibri"/>
          <w:color w:val="1A202C"/>
          <w:sz w:val="22"/>
          <w:szCs w:val="22"/>
        </w:rPr>
        <w:t xml:space="preserve">Each contribution is assessed for its novelty and significance to the field:</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gridCol w:w="100"/>
      </w:tblGrid>
      <w:tr>
        <w:trPr>
          <w:tblHeader/>
        </w:trPr>
        <w:tc>
          <w:tcPr>
            <w:tcW w:type="pct" w:w="8%"/>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Rank</w:t>
            </w:r>
          </w:p>
        </w:tc>
        <w:tc>
          <w:tcPr>
            <w:tcW w:type="pct" w:w="28%"/>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Contribution</w:t>
            </w:r>
          </w:p>
        </w:tc>
        <w:tc>
          <w:tcPr>
            <w:tcW w:type="pct" w:w="18%"/>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Novelty Level</w:t>
            </w:r>
          </w:p>
        </w:tc>
        <w:tc>
          <w:tcPr>
            <w:tcW w:type="pct" w:w="46%"/>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Rationale</w:t>
            </w:r>
          </w:p>
        </w:tc>
      </w:tr>
      <w:tr>
        <w:tc>
          <w:tcPr>
            <w:tcW w:type="pct" w:w="8%"/>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1</w:t>
            </w:r>
          </w:p>
        </w:tc>
        <w:tc>
          <w:tcPr>
            <w:tcW w:type="pct" w:w="2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Structural Ceiling Theory</w:t>
            </w:r>
          </w:p>
        </w:tc>
        <w:tc>
          <w:tcPr>
            <w:tcW w:type="pct" w:w="1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SIGNIFICANT</w:t>
            </w:r>
          </w:p>
        </w:tc>
        <w:tc>
          <w:tcPr>
            <w:tcW w:type="pct" w:w="46%"/>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No prior work formalizes optimizer-class-specific limits on gate reduction</w:t>
            </w:r>
          </w:p>
        </w:tc>
      </w:tr>
      <w:tr>
        <w:tc>
          <w:tcPr>
            <w:tcW w:type="pct" w:w="8%"/>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2</w:t>
            </w:r>
          </w:p>
        </w:tc>
        <w:tc>
          <w:tcPr>
            <w:tcW w:type="pct" w:w="2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Reduction Prediction Model</w:t>
            </w:r>
          </w:p>
        </w:tc>
        <w:tc>
          <w:tcPr>
            <w:tcW w:type="pct" w:w="1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SIGNIFICANT</w:t>
            </w:r>
          </w:p>
        </w:tc>
        <w:tc>
          <w:tcPr>
            <w:tcW w:type="pct" w:w="46%"/>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Using structural features as causal predictors of optimization outcomes is new</w:t>
            </w:r>
          </w:p>
        </w:tc>
      </w:tr>
      <w:tr>
        <w:tc>
          <w:tcPr>
            <w:tcW w:type="pct" w:w="8%"/>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3</w:t>
            </w:r>
          </w:p>
        </w:tc>
        <w:tc>
          <w:tcPr>
            <w:tcW w:type="pct" w:w="2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Optimize-or-Skip Framework</w:t>
            </w:r>
          </w:p>
        </w:tc>
        <w:tc>
          <w:tcPr>
            <w:tcW w:type="pct" w:w="1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SIGNIFICANT</w:t>
            </w:r>
          </w:p>
        </w:tc>
        <w:tc>
          <w:tcPr>
            <w:tcW w:type="pct" w:w="46%"/>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No production compiler implements skip logic based on structural pre-analysis</w:t>
            </w:r>
          </w:p>
        </w:tc>
      </w:tr>
      <w:tr>
        <w:tc>
          <w:tcPr>
            <w:tcW w:type="pct" w:w="8%"/>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4</w:t>
            </w:r>
          </w:p>
        </w:tc>
        <w:tc>
          <w:tcPr>
            <w:tcW w:type="pct" w:w="2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Benchmark Suite</w:t>
            </w:r>
          </w:p>
        </w:tc>
        <w:tc>
          <w:tcPr>
            <w:tcW w:type="pct" w:w="1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INCREMENTAL</w:t>
            </w:r>
          </w:p>
        </w:tc>
        <w:tc>
          <w:tcPr>
            <w:tcW w:type="pct" w:w="46%"/>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Crowded field; best positioned as supporting evidence for claims 1–3</w:t>
            </w:r>
          </w:p>
        </w:tc>
      </w:tr>
    </w:tbl>
    <w:p>
      <w:pPr>
        <w:spacing w:after="80"/>
      </w:pPr>
    </w:p>
    <w:p>
      <w:pPr>
        <w:pStyle w:val="Heading2"/>
        <w:spacing w:after="120" w:before="240"/>
      </w:pPr>
      <w:r>
        <w:rPr>
          <w:rFonts w:ascii="Calibri" w:cs="Calibri" w:eastAsia="Calibri" w:hAnsi="Calibri"/>
          <w:b/>
          <w:bCs/>
          <w:color w:val="2B6CB0"/>
          <w:sz w:val="26"/>
          <w:szCs w:val="26"/>
        </w:rPr>
        <w:t xml:space="preserve">5.1 Strategic Implications</w:t>
      </w:r>
    </w:p>
    <w:p>
      <w:pPr>
        <w:spacing w:after="120" w:line="276"/>
      </w:pPr>
      <w:r>
        <w:rPr>
          <w:rFonts w:ascii="Calibri" w:cs="Calibri" w:eastAsia="Calibri" w:hAnsi="Calibri"/>
          <w:color w:val="1A202C"/>
          <w:sz w:val="22"/>
          <w:szCs w:val="22"/>
        </w:rPr>
        <w:t xml:space="preserve">The top three contributions form a natural narrative arc: theory (structural ceiling) → prediction (universal law) → application (Optimize-or-Skip). The benchmark suite serves as the empirical validation backbone but should not lead the paper.</w:t>
      </w:r>
    </w:p>
    <w:p>
      <w:pPr>
        <w:pStyle w:val="Heading1"/>
        <w:spacing w:after="120" w:before="360"/>
      </w:pPr>
      <w:r>
        <w:rPr>
          <w:rFonts w:ascii="Calibri" w:cs="Calibri" w:eastAsia="Calibri" w:hAnsi="Calibri"/>
          <w:b/>
          <w:bCs/>
          <w:color w:val="1A3C5E"/>
          <w:sz w:val="32"/>
          <w:szCs w:val="32"/>
        </w:rPr>
        <w:t xml:space="preserve">6. Claims to Remove or Revise</w:t>
      </w:r>
    </w:p>
    <w:p>
      <w:pPr>
        <w:spacing w:after="120" w:line="276"/>
      </w:pPr>
      <w:r>
        <w:rPr>
          <w:rFonts w:ascii="Calibri" w:cs="Calibri" w:eastAsia="Calibri" w:hAnsi="Calibri"/>
          <w:color w:val="1A202C"/>
          <w:sz w:val="22"/>
          <w:szCs w:val="22"/>
        </w:rPr>
        <w:t xml:space="preserve">Several claims from earlier deliverables require revision or qualification before publication. The following table summarizes required changes:</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gridCol w:w="100"/>
      </w:tblGrid>
      <w:tr>
        <w:trPr>
          <w:tblHeader/>
        </w:trPr>
        <w:tc>
          <w:tcPr>
            <w:tcW w:type="pct" w:w="10%"/>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Claim ID</w:t>
            </w:r>
          </w:p>
        </w:tc>
        <w:tc>
          <w:tcPr>
            <w:tcW w:type="pct" w:w="25%"/>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Original Claim</w:t>
            </w:r>
          </w:p>
        </w:tc>
        <w:tc>
          <w:tcPr>
            <w:tcW w:type="pct" w:w="1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Action</w:t>
            </w:r>
          </w:p>
        </w:tc>
        <w:tc>
          <w:tcPr>
            <w:tcW w:type="pct" w:w="53%"/>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Revised Position</w:t>
            </w:r>
          </w:p>
        </w:tc>
      </w:tr>
      <w:tr>
        <w:tc>
          <w:tcPr>
            <w:tcW w:type="pct" w:w="10%"/>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C6</w:t>
            </w:r>
          </w:p>
        </w:tc>
        <w:tc>
          <w:tcPr>
            <w:tcW w:type="pct" w:w="25%"/>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Real-world generalization</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INVERT</w:t>
            </w:r>
          </w:p>
        </w:tc>
        <w:tc>
          <w:tcPr>
            <w:tcW w:type="pct" w:w="53%"/>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Framework predicts where optimization FAILS, not where it succeeds</w:t>
            </w:r>
          </w:p>
        </w:tc>
      </w:tr>
      <w:tr>
        <w:tc>
          <w:tcPr>
            <w:tcW w:type="pct" w:w="10%"/>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ST-03</w:t>
            </w:r>
          </w:p>
        </w:tc>
        <w:tc>
          <w:tcPr>
            <w:tcW w:type="pct" w:w="25%"/>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"First formal theory"</w:t>
            </w:r>
          </w:p>
        </w:tc>
        <w:tc>
          <w:tcPr>
            <w:tcW w:type="pct" w:w="1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REVISE</w:t>
            </w:r>
          </w:p>
        </w:tc>
        <w:tc>
          <w:tcPr>
            <w:tcW w:type="pct" w:w="53%"/>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Change to "systematic analytical framework" — avoid claiming theoretical primacy</w:t>
            </w:r>
          </w:p>
        </w:tc>
      </w:tr>
      <w:tr>
        <w:tc>
          <w:tcPr>
            <w:tcW w:type="pct" w:w="10%"/>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ST-01</w:t>
            </w:r>
          </w:p>
        </w:tc>
        <w:tc>
          <w:tcPr>
            <w:tcW w:type="pct" w:w="25%"/>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SA/GA convergence claim</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REVISE</w:t>
            </w:r>
          </w:p>
        </w:tc>
        <w:tc>
          <w:tcPr>
            <w:tcW w:type="pct" w:w="53%"/>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SA/GA produce NEGATIVE reductions (degradation); reframe as cautionary finding</w:t>
            </w:r>
          </w:p>
        </w:tc>
      </w:tr>
      <w:tr>
        <w:tc>
          <w:tcPr>
            <w:tcW w:type="pct" w:w="10%"/>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ST-02</w:t>
            </w:r>
          </w:p>
        </w:tc>
        <w:tc>
          <w:tcPr>
            <w:tcW w:type="pct" w:w="25%"/>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11.48% reduction claim</w:t>
            </w:r>
          </w:p>
        </w:tc>
        <w:tc>
          <w:tcPr>
            <w:tcW w:type="pct" w:w="1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REVISE</w:t>
            </w:r>
          </w:p>
        </w:tc>
        <w:tc>
          <w:tcPr>
            <w:tcW w:type="pct" w:w="53%"/>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Correct to 7.50% (post-fix measurement); disclose the correction transparently</w:t>
            </w:r>
          </w:p>
        </w:tc>
      </w:tr>
      <w:tr>
        <w:tc>
          <w:tcPr>
            <w:tcW w:type="pct" w:w="10%"/>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ST-04</w:t>
            </w:r>
          </w:p>
        </w:tc>
        <w:tc>
          <w:tcPr>
            <w:tcW w:type="pct" w:w="25%"/>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Oracle/BV n=9 results</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QUALIFY</w:t>
            </w:r>
          </w:p>
        </w:tc>
        <w:tc>
          <w:tcPr>
            <w:tcW w:type="pct" w:w="53%"/>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Present as preliminary; requires expansion to n≥64 for validation</w:t>
            </w:r>
          </w:p>
        </w:tc>
      </w:tr>
      <w:tr>
        <w:tc>
          <w:tcPr>
            <w:tcW w:type="pct" w:w="10%"/>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ST-05</w:t>
            </w:r>
          </w:p>
        </w:tc>
        <w:tc>
          <w:tcPr>
            <w:tcW w:type="pct" w:w="25%"/>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Hardcoded fidelity values</w:t>
            </w:r>
          </w:p>
        </w:tc>
        <w:tc>
          <w:tcPr>
            <w:tcW w:type="pct" w:w="1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REVISE</w:t>
            </w:r>
          </w:p>
        </w:tc>
        <w:tc>
          <w:tcPr>
            <w:tcW w:type="pct" w:w="53%"/>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Disclose methodology and present actual measured fidelity values</w:t>
            </w:r>
          </w:p>
        </w:tc>
      </w:tr>
    </w:tbl>
    <w:p>
      <w:pPr>
        <w:spacing w:after="80"/>
      </w:pP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40"/>
            </w:pPr>
            <w:r>
              <w:rPr>
                <w:rFonts w:ascii="Calibri" w:cs="Calibri" w:eastAsia="Calibri" w:hAnsi="Calibri"/>
                <w:b/>
                <w:bCs/>
                <w:color w:val="2B6CB0"/>
                <w:sz w:val="21"/>
                <w:szCs w:val="21"/>
              </w:rPr>
              <w:t xml:space="preserve">Critical Note</w:t>
            </w:r>
          </w:p>
          <w:p>
            <w:pPr>
              <w:spacing w:after="0" w:line="276"/>
            </w:pPr>
            <w:r>
              <w:rPr>
                <w:rFonts w:ascii="Calibri" w:cs="Calibri" w:eastAsia="Calibri" w:hAnsi="Calibri"/>
                <w:color w:val="1A202C"/>
                <w:sz w:val="20"/>
                <w:szCs w:val="20"/>
              </w:rPr>
              <w:t xml:space="preserve">All revisions must be completed before manuscript submission. The C6 inversion is particularly important: reframing the framework as predicting optimization FAILURE rather than success is both more accurate and more impactful for the target audience of compiler developers.</w:t>
            </w:r>
          </w:p>
        </w:tc>
      </w:tr>
    </w:tbl>
    <w:p>
      <w:pPr>
        <w:pStyle w:val="Heading1"/>
        <w:spacing w:after="120" w:before="360"/>
      </w:pPr>
      <w:r>
        <w:rPr>
          <w:rFonts w:ascii="Calibri" w:cs="Calibri" w:eastAsia="Calibri" w:hAnsi="Calibri"/>
          <w:b/>
          <w:bCs/>
          <w:color w:val="1A3C5E"/>
          <w:sz w:val="32"/>
          <w:szCs w:val="32"/>
        </w:rPr>
        <w:t xml:space="preserve">7. Additional Experiments Needed</w:t>
      </w:r>
    </w:p>
    <w:p>
      <w:pPr>
        <w:spacing w:after="120" w:line="276"/>
      </w:pPr>
      <w:r>
        <w:rPr>
          <w:rFonts w:ascii="Calibri" w:cs="Calibri" w:eastAsia="Calibri" w:hAnsi="Calibri"/>
          <w:color w:val="1A202C"/>
          <w:sz w:val="22"/>
          <w:szCs w:val="22"/>
        </w:rPr>
        <w:t xml:space="preserve">The following experiments are prioritized by their impact on publication success:</w:t>
      </w:r>
    </w:p>
    <w:p>
      <w:pPr>
        <w:spacing w:after="60"/>
      </w:pPr>
    </w:p>
    <w:p>
      <w:pPr>
        <w:pStyle w:val="Heading2"/>
        <w:spacing w:after="120" w:before="240"/>
      </w:pPr>
      <w:r>
        <w:rPr>
          <w:rFonts w:ascii="Calibri" w:cs="Calibri" w:eastAsia="Calibri" w:hAnsi="Calibri"/>
          <w:b/>
          <w:bCs/>
          <w:color w:val="2B6CB0"/>
          <w:sz w:val="26"/>
          <w:szCs w:val="26"/>
        </w:rPr>
        <w:t xml:space="preserve">7.1 Priority 1 — Critical (Must Complete)</w:t>
      </w:r>
    </w:p>
    <w:p>
      <w:pPr>
        <w:pStyle w:val="ListParagraph"/>
        <w:numPr>
          <w:ilvl w:val="0"/>
          <w:numId w:val="1"/>
        </w:numPr>
        <w:spacing w:after="80" w:line="276"/>
      </w:pPr>
      <w:r>
        <w:rPr>
          <w:rFonts w:ascii="Calibri" w:cs="Calibri" w:eastAsia="Calibri" w:hAnsi="Calibri"/>
          <w:color w:val="1A202C"/>
          <w:sz w:val="22"/>
          <w:szCs w:val="22"/>
        </w:rPr>
        <w:t xml:space="preserve">E10: Oracle/BV circuit expansion from n=9 to n≥64. Current sample is too small for statistically meaningful conclusions about this family's optimization behavior.</w:t>
      </w:r>
    </w:p>
    <w:p>
      <w:pPr>
        <w:pStyle w:val="ListParagraph"/>
        <w:numPr>
          <w:ilvl w:val="0"/>
          <w:numId w:val="1"/>
        </w:numPr>
        <w:spacing w:after="80" w:line="276"/>
      </w:pPr>
      <w:r>
        <w:rPr>
          <w:rFonts w:ascii="Calibri" w:cs="Calibri" w:eastAsia="Calibri" w:hAnsi="Calibri"/>
          <w:color w:val="1A202C"/>
          <w:sz w:val="22"/>
          <w:szCs w:val="22"/>
        </w:rPr>
        <w:t xml:space="preserve">E01–E05: Fidelity regeneration. Replace hardcoded fidelity values with actual measurements from circuit simulation. This is essential for credibility.</w:t>
      </w:r>
    </w:p>
    <w:p>
      <w:pPr>
        <w:spacing w:after="40"/>
      </w:pPr>
    </w:p>
    <w:p>
      <w:pPr>
        <w:pStyle w:val="Heading2"/>
        <w:spacing w:after="120" w:before="240"/>
      </w:pPr>
      <w:r>
        <w:rPr>
          <w:rFonts w:ascii="Calibri" w:cs="Calibri" w:eastAsia="Calibri" w:hAnsi="Calibri"/>
          <w:b/>
          <w:bCs/>
          <w:color w:val="2B6CB0"/>
          <w:sz w:val="26"/>
          <w:szCs w:val="26"/>
        </w:rPr>
        <w:t xml:space="preserve">7.2 Priority 2 — High Value (Strongly Recommended)</w:t>
      </w:r>
    </w:p>
    <w:p>
      <w:pPr>
        <w:pStyle w:val="ListParagraph"/>
        <w:numPr>
          <w:ilvl w:val="0"/>
          <w:numId w:val="1"/>
        </w:numPr>
        <w:spacing w:after="80" w:line="276"/>
      </w:pPr>
      <w:r>
        <w:rPr>
          <w:rFonts w:ascii="Calibri" w:cs="Calibri" w:eastAsia="Calibri" w:hAnsi="Calibri"/>
          <w:color w:val="1A202C"/>
          <w:sz w:val="22"/>
          <w:szCs w:val="22"/>
        </w:rPr>
        <w:t xml:space="preserve">Qiskit pass-isolation comparison: Run individual Qiskit optimization passes (CXCancellation, CommutativeCancellation, etc.) in isolation and compare reduction profiles with our two-phase optimizer. This validates our optimizer as a representative analytical instrument.</w:t>
      </w:r>
    </w:p>
    <w:p>
      <w:pPr>
        <w:pStyle w:val="ListParagraph"/>
        <w:numPr>
          <w:ilvl w:val="0"/>
          <w:numId w:val="1"/>
        </w:numPr>
        <w:spacing w:after="80" w:line="276"/>
      </w:pPr>
      <w:r>
        <w:rPr>
          <w:rFonts w:ascii="Calibri" w:cs="Calibri" w:eastAsia="Calibri" w:hAnsi="Calibri"/>
          <w:color w:val="1A202C"/>
          <w:sz w:val="22"/>
          <w:szCs w:val="22"/>
        </w:rPr>
        <w:t xml:space="preserve">Out-of-sample prediction test: Generate 5 new circuit families not in the training set and test prediction accuracy. This demonstrates generalization beyond the benchmark suite.</w:t>
      </w:r>
    </w:p>
    <w:p>
      <w:pPr>
        <w:spacing w:after="40"/>
      </w:pPr>
    </w:p>
    <w:p>
      <w:pPr>
        <w:pStyle w:val="Heading2"/>
        <w:spacing w:after="120" w:before="240"/>
      </w:pPr>
      <w:r>
        <w:rPr>
          <w:rFonts w:ascii="Calibri" w:cs="Calibri" w:eastAsia="Calibri" w:hAnsi="Calibri"/>
          <w:b/>
          <w:bCs/>
          <w:color w:val="2B6CB0"/>
          <w:sz w:val="26"/>
          <w:szCs w:val="26"/>
        </w:rPr>
        <w:t xml:space="preserve">7.3 Priority 3 — Nice to Have</w:t>
      </w:r>
    </w:p>
    <w:p>
      <w:pPr>
        <w:pStyle w:val="ListParagraph"/>
        <w:numPr>
          <w:ilvl w:val="0"/>
          <w:numId w:val="1"/>
        </w:numPr>
        <w:spacing w:after="80" w:line="276"/>
      </w:pPr>
      <w:r>
        <w:rPr>
          <w:rFonts w:ascii="Calibri" w:cs="Calibri" w:eastAsia="Calibri" w:hAnsi="Calibri"/>
          <w:color w:val="1A202C"/>
          <w:sz w:val="22"/>
          <w:szCs w:val="22"/>
        </w:rPr>
        <w:t xml:space="preserve">Larger scaling experiments (n=20–50) to demonstrate that the structural ceiling holds at practical circuit sizes.</w:t>
      </w:r>
    </w:p>
    <w:p>
      <w:pPr>
        <w:pStyle w:val="ListParagraph"/>
        <w:numPr>
          <w:ilvl w:val="0"/>
          <w:numId w:val="1"/>
        </w:numPr>
        <w:spacing w:after="80" w:line="276"/>
      </w:pPr>
      <w:r>
        <w:rPr>
          <w:rFonts w:ascii="Calibri" w:cs="Calibri" w:eastAsia="Calibri" w:hAnsi="Calibri"/>
          <w:color w:val="1A202C"/>
          <w:sz w:val="22"/>
          <w:szCs w:val="22"/>
        </w:rPr>
        <w:t xml:space="preserve">Hardware validation: Run optimized vs. unoptimized circuits on real quantum hardware to measure fidelity impact of optimization decisions.</w:t>
      </w:r>
    </w:p>
    <w:p>
      <w:pPr>
        <w:pStyle w:val="Heading1"/>
        <w:spacing w:after="120" w:before="360"/>
      </w:pPr>
      <w:r>
        <w:rPr>
          <w:rFonts w:ascii="Calibri" w:cs="Calibri" w:eastAsia="Calibri" w:hAnsi="Calibri"/>
          <w:b/>
          <w:bCs/>
          <w:color w:val="1A3C5E"/>
          <w:sz w:val="32"/>
          <w:szCs w:val="32"/>
        </w:rPr>
        <w:t xml:space="preserve">8. Publication Roadmap</w:t>
      </w:r>
    </w:p>
    <w:p>
      <w:pPr>
        <w:spacing w:after="120" w:line="276"/>
      </w:pPr>
      <w:r>
        <w:rPr>
          <w:rFonts w:ascii="Calibri" w:cs="Calibri" w:eastAsia="Calibri" w:hAnsi="Calibri"/>
          <w:color w:val="1A202C"/>
          <w:sz w:val="22"/>
          <w:szCs w:val="22"/>
        </w:rPr>
        <w:t xml:space="preserve">The following timeline outlines the path from current state to submission:</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gridCol w:w="100"/>
      </w:tblGrid>
      <w:tr>
        <w:trPr>
          <w:tblHeader/>
        </w:trPr>
        <w:tc>
          <w:tcPr>
            <w:tcW w:type="pct" w:w="1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Phase</w:t>
            </w:r>
          </w:p>
        </w:tc>
        <w:tc>
          <w:tcPr>
            <w:tcW w:type="pct" w:w="14%"/>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Timeline</w:t>
            </w:r>
          </w:p>
        </w:tc>
        <w:tc>
          <w:tcPr>
            <w:tcW w:type="pct" w:w="2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Milestone</w:t>
            </w:r>
          </w:p>
        </w:tc>
        <w:tc>
          <w:tcPr>
            <w:tcW w:type="pct" w:w="5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Key Actions</w:t>
            </w:r>
          </w:p>
        </w:tc>
      </w:tr>
      <w:tr>
        <w:tc>
          <w:tcPr>
            <w:tcW w:type="pct" w:w="12%"/>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Phase 1</w:t>
            </w:r>
          </w:p>
        </w:tc>
        <w:tc>
          <w:tcPr>
            <w:tcW w:type="pct" w:w="1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Week 1–2</w:t>
            </w:r>
          </w:p>
        </w:tc>
        <w:tc>
          <w:tcPr>
            <w:tcW w:type="pct" w:w="2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arXiv Preprint</w:t>
            </w:r>
          </w:p>
        </w:tc>
        <w:tc>
          <w:tcPr>
            <w:tcW w:type="pct" w:w="5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Post preprint to establish priority; include structural ceiling theory and benchmark results</w:t>
            </w:r>
          </w:p>
        </w:tc>
      </w:tr>
      <w:tr>
        <w:tc>
          <w:tcPr>
            <w:tcW w:type="pct" w:w="12%"/>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Phase 2</w:t>
            </w:r>
          </w:p>
        </w:tc>
        <w:tc>
          <w:tcPr>
            <w:tcW w:type="pct" w:w="14%"/>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Week 2–8</w:t>
            </w:r>
          </w:p>
        </w:tc>
        <w:tc>
          <w:tcPr>
            <w:tcW w:type="pct" w:w="2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Revision Period</w:t>
            </w:r>
          </w:p>
        </w:tc>
        <w:tc>
          <w:tcPr>
            <w:tcW w:type="pct" w:w="5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Execute Priority 1 and Priority 2 experiments; revise all flagged claims; regenerate fidelity data</w:t>
            </w:r>
          </w:p>
        </w:tc>
      </w:tr>
      <w:tr>
        <w:tc>
          <w:tcPr>
            <w:tcW w:type="pct" w:w="12%"/>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Phase 3</w:t>
            </w:r>
          </w:p>
        </w:tc>
        <w:tc>
          <w:tcPr>
            <w:tcW w:type="pct" w:w="1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Week 8–10</w:t>
            </w:r>
          </w:p>
        </w:tc>
        <w:tc>
          <w:tcPr>
            <w:tcW w:type="pct" w:w="2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Journal Submission</w:t>
            </w:r>
          </w:p>
        </w:tc>
        <w:tc>
          <w:tcPr>
            <w:tcW w:type="pct" w:w="5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Submit to Quantum (primary) or ACM TQC (secondary); include all supplementary materials</w:t>
            </w:r>
          </w:p>
        </w:tc>
      </w:tr>
      <w:tr>
        <w:tc>
          <w:tcPr>
            <w:tcW w:type="pct" w:w="12%"/>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Phase 4</w:t>
            </w:r>
          </w:p>
        </w:tc>
        <w:tc>
          <w:tcPr>
            <w:tcW w:type="pct" w:w="14%"/>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Week 34–42</w:t>
            </w:r>
          </w:p>
        </w:tc>
        <w:tc>
          <w:tcPr>
            <w:tcW w:type="pct" w:w="2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Expected Decision</w:t>
            </w:r>
          </w:p>
        </w:tc>
        <w:tc>
          <w:tcPr>
            <w:tcW w:type="pct" w:w="5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Anticipate first decision; prepare rebuttal or revision as needed</w:t>
            </w:r>
          </w:p>
        </w:tc>
      </w:tr>
    </w:tbl>
    <w:p>
      <w:pPr>
        <w:spacing w:after="80"/>
      </w:pPr>
    </w:p>
    <w:p>
      <w:pPr>
        <w:pStyle w:val="Heading2"/>
        <w:spacing w:after="120" w:before="240"/>
      </w:pPr>
      <w:r>
        <w:rPr>
          <w:rFonts w:ascii="Calibri" w:cs="Calibri" w:eastAsia="Calibri" w:hAnsi="Calibri"/>
          <w:b/>
          <w:bCs/>
          <w:color w:val="2B6CB0"/>
          <w:sz w:val="26"/>
          <w:szCs w:val="26"/>
        </w:rPr>
        <w:t xml:space="preserve">8.1 Second Paper Strategy</w:t>
      </w:r>
    </w:p>
    <w:p>
      <w:pPr>
        <w:spacing w:after="120" w:line="276"/>
      </w:pPr>
      <w:r>
        <w:rPr>
          <w:rFonts w:ascii="Calibri" w:cs="Calibri" w:eastAsia="Calibri" w:hAnsi="Calibri"/>
          <w:b/>
          <w:bCs/>
          <w:color w:val="1A3C5E"/>
          <w:sz w:val="22"/>
          <w:szCs w:val="22"/>
        </w:rPr>
        <w:t xml:space="preserve">Focused Optimize-or-Skip Compiler Paper: </w:t>
      </w:r>
      <w:r>
        <w:rPr>
          <w:rFonts w:ascii="Calibri" w:cs="Calibri" w:eastAsia="Calibri" w:hAnsi="Calibri"/>
          <w:color w:val="1A202C"/>
          <w:sz w:val="22"/>
          <w:szCs w:val="22"/>
        </w:rPr>
        <w:t xml:space="preserve">A second, more focused paper on the Optimize-or-Skip compiler framework is viable for IEEE TQE or a QCE conference. Submit 3–6 months after the main paper to avoid self-competition during review. This paper would emphasize the engineering contribution and include integration benchmarks with Qiskit and tket.</w:t>
      </w:r>
    </w:p>
    <w:p>
      <w:pPr>
        <w:pStyle w:val="Heading1"/>
        <w:spacing w:after="120" w:before="360"/>
      </w:pPr>
      <w:r>
        <w:rPr>
          <w:rFonts w:ascii="Calibri" w:cs="Calibri" w:eastAsia="Calibri" w:hAnsi="Calibri"/>
          <w:b/>
          <w:bCs/>
          <w:color w:val="1A3C5E"/>
          <w:sz w:val="32"/>
          <w:szCs w:val="32"/>
        </w:rPr>
        <w:t xml:space="preserve">9. Competitive Positioning</w:t>
      </w:r>
    </w:p>
    <w:p>
      <w:pPr>
        <w:spacing w:after="120" w:line="276"/>
      </w:pPr>
      <w:r>
        <w:rPr>
          <w:rFonts w:ascii="Calibri" w:cs="Calibri" w:eastAsia="Calibri" w:hAnsi="Calibri"/>
          <w:color w:val="1A202C"/>
          <w:sz w:val="22"/>
          <w:szCs w:val="22"/>
        </w:rPr>
        <w:t xml:space="preserve">Our work occupies a unique position in the quantum compilation landscape. The following framework clarifies our differentiation:</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gridCol w:w="100"/>
      </w:tblGrid>
      <w:tr>
        <w:trPr>
          <w:tblHeader/>
        </w:trPr>
        <w:tc>
          <w:tcPr>
            <w:tcW w:type="pct" w:w="20%"/>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Competitor Category</w:t>
            </w:r>
          </w:p>
        </w:tc>
        <w:tc>
          <w:tcPr>
            <w:tcW w:type="pct" w:w="24%"/>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Their Question</w:t>
            </w:r>
          </w:p>
        </w:tc>
        <w:tc>
          <w:tcPr>
            <w:tcW w:type="pct" w:w="24%"/>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Our Question</w:t>
            </w:r>
          </w:p>
        </w:tc>
        <w:tc>
          <w:tcPr>
            <w:tcW w:type="pct" w:w="3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Positioning Statement</w:t>
            </w:r>
          </w:p>
        </w:tc>
      </w:tr>
      <w:tr>
        <w:tc>
          <w:tcPr>
            <w:tcW w:type="pct" w:w="20%"/>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Production Compilers</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How to optimize circuits?</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When is optimization possible?</w:t>
            </w:r>
          </w:p>
        </w:tc>
        <w:tc>
          <w:tcPr>
            <w:tcW w:type="pct" w:w="3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We are a pre-filter, not a replacement</w:t>
            </w:r>
          </w:p>
        </w:tc>
      </w:tr>
      <w:tr>
        <w:tc>
          <w:tcPr>
            <w:tcW w:type="pct" w:w="20%"/>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Other Benchmark Frameworks</w:t>
            </w:r>
          </w:p>
        </w:tc>
        <w:tc>
          <w:tcPr>
            <w:tcW w:type="pct" w:w="24%"/>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Which optimizer is best?</w:t>
            </w:r>
          </w:p>
        </w:tc>
        <w:tc>
          <w:tcPr>
            <w:tcW w:type="pct" w:w="24%"/>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Which circuits can be optimized?</w:t>
            </w:r>
          </w:p>
        </w:tc>
        <w:tc>
          <w:tcPr>
            <w:tcW w:type="pct" w:w="3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Existing work asks HOW; we ask WHEN</w:t>
            </w:r>
          </w:p>
        </w:tc>
      </w:tr>
      <w:tr>
        <w:tc>
          <w:tcPr>
            <w:tcW w:type="pct" w:w="20%"/>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Theory Papers</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What are theoretical limits?</w:t>
            </w:r>
          </w:p>
        </w:tc>
        <w:tc>
          <w:tcPr>
            <w:tcW w:type="pct" w:w="24%"/>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What are empirically validated, computable limits?</w:t>
            </w:r>
          </w:p>
        </w:tc>
        <w:tc>
          <w:tcPr>
            <w:tcW w:type="pct" w:w="3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Individual theorems are elementary; the SYNTHESIS into a predictive framework at scale is the contribution</w:t>
            </w:r>
          </w:p>
        </w:tc>
      </w:tr>
    </w:tbl>
    <w:p>
      <w:pPr>
        <w:spacing w:after="80"/>
      </w:pPr>
    </w:p>
    <w:p>
      <w:pPr>
        <w:pStyle w:val="Heading2"/>
        <w:spacing w:after="120" w:before="240"/>
      </w:pPr>
      <w:r>
        <w:rPr>
          <w:rFonts w:ascii="Calibri" w:cs="Calibri" w:eastAsia="Calibri" w:hAnsi="Calibri"/>
          <w:b/>
          <w:bCs/>
          <w:color w:val="2B6CB0"/>
          <w:sz w:val="26"/>
          <w:szCs w:val="26"/>
        </w:rPr>
        <w:t xml:space="preserve">9.1 Key Differentiators</w:t>
      </w:r>
    </w:p>
    <w:p>
      <w:pPr>
        <w:pStyle w:val="ListParagraph"/>
        <w:numPr>
          <w:ilvl w:val="0"/>
          <w:numId w:val="1"/>
        </w:numPr>
        <w:spacing w:after="80" w:line="276"/>
      </w:pPr>
      <w:r>
        <w:rPr>
          <w:rFonts w:ascii="Calibri" w:cs="Calibri" w:eastAsia="Calibri" w:hAnsi="Calibri"/>
          <w:color w:val="1A202C"/>
          <w:sz w:val="22"/>
          <w:szCs w:val="22"/>
        </w:rPr>
        <w:t xml:space="preserve">Pre-filter paradigm: We add decision intelligence to existing compilers without modifying their internals</w:t>
      </w:r>
    </w:p>
    <w:p>
      <w:pPr>
        <w:pStyle w:val="ListParagraph"/>
        <w:numPr>
          <w:ilvl w:val="0"/>
          <w:numId w:val="1"/>
        </w:numPr>
        <w:spacing w:after="80" w:line="276"/>
      </w:pPr>
      <w:r>
        <w:rPr>
          <w:rFonts w:ascii="Calibri" w:cs="Calibri" w:eastAsia="Calibri" w:hAnsi="Calibri"/>
          <w:color w:val="1A202C"/>
          <w:sz w:val="22"/>
          <w:szCs w:val="22"/>
        </w:rPr>
        <w:t xml:space="preserve">Empirical validation at scale: 47,401 trials provide statistical power that pure theoretical analyses lack</w:t>
      </w:r>
    </w:p>
    <w:p>
      <w:pPr>
        <w:pStyle w:val="ListParagraph"/>
        <w:numPr>
          <w:ilvl w:val="0"/>
          <w:numId w:val="1"/>
        </w:numPr>
        <w:spacing w:after="80" w:line="276"/>
      </w:pPr>
      <w:r>
        <w:rPr>
          <w:rFonts w:ascii="Calibri" w:cs="Calibri" w:eastAsia="Calibri" w:hAnsi="Calibri"/>
          <w:color w:val="1A202C"/>
          <w:sz w:val="22"/>
          <w:szCs w:val="22"/>
        </w:rPr>
        <w:t xml:space="preserve">Practical applicability: The Optimize-or-Skip framework can be deployed today in any Qiskit, tket, or Cirq pipeline</w:t>
      </w:r>
    </w:p>
    <w:p>
      <w:pPr>
        <w:pStyle w:val="ListParagraph"/>
        <w:numPr>
          <w:ilvl w:val="0"/>
          <w:numId w:val="1"/>
        </w:numPr>
        <w:spacing w:after="80" w:line="276"/>
      </w:pPr>
      <w:r>
        <w:rPr>
          <w:rFonts w:ascii="Calibri" w:cs="Calibri" w:eastAsia="Calibri" w:hAnsi="Calibri"/>
          <w:color w:val="1A202C"/>
          <w:sz w:val="22"/>
          <w:szCs w:val="22"/>
        </w:rPr>
        <w:t xml:space="preserve">Trichotomy classification: The Class I/II/III taxonomy provides a shared vocabulary for the community</w:t>
      </w:r>
    </w:p>
    <w:p>
      <w:pPr>
        <w:pStyle w:val="Heading1"/>
        <w:spacing w:after="120" w:before="360"/>
      </w:pPr>
      <w:r>
        <w:rPr>
          <w:rFonts w:ascii="Calibri" w:cs="Calibri" w:eastAsia="Calibri" w:hAnsi="Calibri"/>
          <w:b/>
          <w:bCs/>
          <w:color w:val="1A3C5E"/>
          <w:sz w:val="32"/>
          <w:szCs w:val="32"/>
        </w:rPr>
        <w:t xml:space="preserve">10. Risk Assessment</w:t>
      </w:r>
    </w:p>
    <w:p>
      <w:pPr>
        <w:spacing w:after="120" w:line="276"/>
      </w:pPr>
      <w:r>
        <w:rPr>
          <w:rFonts w:ascii="Calibri" w:cs="Calibri" w:eastAsia="Calibri" w:hAnsi="Calibri"/>
          <w:color w:val="1A202C"/>
          <w:sz w:val="22"/>
          <w:szCs w:val="22"/>
        </w:rPr>
        <w:t xml:space="preserve">We identify five key risks to publication success and provide mitigation strategies for each:</w:t>
      </w:r>
    </w:p>
    <w:p>
      <w:pPr>
        <w:spacing w:after="60"/>
      </w:pPr>
    </w:p>
    <w:tbl>
      <w:tblPr>
        <w:tblW w:type="pct" w:w="100%"/>
        <w:tblBorders>
          <w:top w:val="single" w:color="A0AEC0" w:sz="1"/>
          <w:left w:val="single" w:color="A0AEC0" w:sz="1"/>
          <w:bottom w:val="single" w:color="A0AEC0" w:sz="1"/>
          <w:right w:val="single" w:color="A0AEC0" w:sz="1"/>
          <w:insideH w:val="single" w:color="A0AEC0" w:sz="1"/>
          <w:insideV w:val="single" w:color="A0AEC0" w:sz="1"/>
        </w:tblBorders>
        <w:tblLayout w:type="fixed"/>
      </w:tblPr>
      <w:tblGrid>
        <w:gridCol w:w="100"/>
        <w:gridCol w:w="100"/>
        <w:gridCol w:w="100"/>
        <w:gridCol w:w="100"/>
      </w:tblGrid>
      <w:tr>
        <w:trPr>
          <w:tblHeader/>
        </w:trPr>
        <w:tc>
          <w:tcPr>
            <w:tcW w:type="pct" w:w="8%"/>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Risk ID</w:t>
            </w:r>
          </w:p>
        </w:tc>
        <w:tc>
          <w:tcPr>
            <w:tcW w:type="pct" w:w="3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Risk Description</w:t>
            </w:r>
          </w:p>
        </w:tc>
        <w:tc>
          <w:tcPr>
            <w:tcW w:type="pct" w:w="12%"/>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Severity</w:t>
            </w:r>
          </w:p>
        </w:tc>
        <w:tc>
          <w:tcPr>
            <w:tcW w:type="pct" w:w="48%"/>
            <w:shd w:fill="1A3C5E" w:color="1A3C5E" w:val="solid"/>
            <w:tcMar>
              <w:top w:type="dxa" w:w="40"/>
              <w:left w:type="dxa" w:w="80"/>
              <w:bottom w:type="dxa" w:w="40"/>
              <w:right w:type="dxa" w:w="80"/>
            </w:tcMar>
            <w:vAlign w:val="center"/>
          </w:tcPr>
          <w:p>
            <w:pPr>
              <w:spacing w:after="0"/>
              <w:jc w:val="center"/>
            </w:pPr>
            <w:r>
              <w:rPr>
                <w:rFonts w:ascii="Calibri" w:cs="Calibri" w:eastAsia="Calibri" w:hAnsi="Calibri"/>
                <w:b/>
                <w:bCs/>
                <w:color w:val="FFFFFF"/>
                <w:sz w:val="21"/>
                <w:szCs w:val="21"/>
              </w:rPr>
              <w:t xml:space="preserve">Mitigation Strategy</w:t>
            </w:r>
          </w:p>
        </w:tc>
      </w:tr>
      <w:tr>
        <w:tc>
          <w:tcPr>
            <w:tcW w:type="pct" w:w="8%"/>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R1</w:t>
            </w:r>
          </w:p>
        </w:tc>
        <w:tc>
          <w:tcPr>
            <w:tcW w:type="pct" w:w="3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"Structural ceiling is obvious" — reviewers argue the finding is trivially known</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HIGHEST</w:t>
            </w:r>
          </w:p>
        </w:tc>
        <w:tc>
          <w:tcPr>
            <w:tcW w:type="pct" w:w="4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Defend with the universal law (R²=0.626) and Optimize-or-Skip as non-obvious, practically valuable contributions</w:t>
            </w:r>
          </w:p>
        </w:tc>
      </w:tr>
      <w:tr>
        <w:tc>
          <w:tcPr>
            <w:tcW w:type="pct" w:w="8%"/>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R2</w:t>
            </w:r>
          </w:p>
        </w:tc>
        <w:tc>
          <w:tcPr>
            <w:tcW w:type="pct" w:w="3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Negative CV R² in cross-validation</w:t>
            </w:r>
          </w:p>
        </w:tc>
        <w:tc>
          <w:tcPr>
            <w:tcW w:type="pct" w:w="1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HIGH</w:t>
            </w:r>
          </w:p>
        </w:tc>
        <w:tc>
          <w:tcPr>
            <w:tcW w:type="pct" w:w="4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Defend with feature importance consistency across folds and sign-prediction accuracy; acknowledge limitation transparently</w:t>
            </w:r>
          </w:p>
        </w:tc>
      </w:tr>
      <w:tr>
        <w:tc>
          <w:tcPr>
            <w:tcW w:type="pct" w:w="8%"/>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R3</w:t>
            </w:r>
          </w:p>
        </w:tc>
        <w:tc>
          <w:tcPr>
            <w:tcW w:type="pct" w:w="3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Theory perceived as too elementary</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MEDIUM</w:t>
            </w:r>
          </w:p>
        </w:tc>
        <w:tc>
          <w:tcPr>
            <w:tcW w:type="pct" w:w="4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Position paper as empirical framework, not theory paper; emphasize scale and validation over mathematical novelty</w:t>
            </w:r>
          </w:p>
        </w:tc>
      </w:tr>
      <w:tr>
        <w:tc>
          <w:tcPr>
            <w:tcW w:type="pct" w:w="8%"/>
            <w:shd w:fill="EBF4FF" w:color="EBF4FF" w:val="solid"/>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R4</w:t>
            </w:r>
          </w:p>
        </w:tc>
        <w:tc>
          <w:tcPr>
            <w:tcW w:type="pct" w:w="3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Small sample size (n=45 circuits)</w:t>
            </w:r>
          </w:p>
        </w:tc>
        <w:tc>
          <w:tcPr>
            <w:tcW w:type="pct" w:w="12%"/>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MEDIUM</w:t>
            </w:r>
          </w:p>
        </w:tc>
        <w:tc>
          <w:tcPr>
            <w:tcW w:type="pct" w:w="48%"/>
            <w:shd w:fill="EBF4FF" w:color="EBF4FF" w:val="solid"/>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Acknowledge limitation; emphasize 47,401 total experimental rows for statistical validation; note 15 families cover major algorithm classes</w:t>
            </w:r>
          </w:p>
        </w:tc>
      </w:tr>
      <w:tr>
        <w:tc>
          <w:tcPr>
            <w:tcW w:type="pct" w:w="8%"/>
            <w:tcMar>
              <w:top w:type="dxa" w:w="40"/>
              <w:left w:type="dxa" w:w="80"/>
              <w:bottom w:type="dxa" w:w="40"/>
              <w:right w:type="dxa" w:w="80"/>
            </w:tcMar>
            <w:vAlign w:val="center"/>
          </w:tcPr>
          <w:p>
            <w:pPr>
              <w:spacing w:after="0"/>
              <w:jc w:val="left"/>
            </w:pPr>
            <w:r>
              <w:rPr>
                <w:rFonts w:ascii="Calibri" w:cs="Calibri" w:eastAsia="Calibri" w:hAnsi="Calibri"/>
                <w:b w:val="false"/>
                <w:bCs w:val="false"/>
                <w:color w:val="1A202C"/>
                <w:sz w:val="20"/>
                <w:szCs w:val="20"/>
              </w:rPr>
              <w:t xml:space="preserve">R5</w:t>
            </w:r>
          </w:p>
        </w:tc>
        <w:tc>
          <w:tcPr>
            <w:tcW w:type="pct" w:w="3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Two-phase optimizer = Qiskit passes</w:t>
            </w:r>
          </w:p>
        </w:tc>
        <w:tc>
          <w:tcPr>
            <w:tcW w:type="pct" w:w="12%"/>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LOW</w:t>
            </w:r>
          </w:p>
        </w:tc>
        <w:tc>
          <w:tcPr>
            <w:tcW w:type="pct" w:w="48%"/>
            <w:tcMar>
              <w:top w:type="dxa" w:w="40"/>
              <w:left w:type="dxa" w:w="80"/>
              <w:bottom w:type="dxa" w:w="40"/>
              <w:right w:type="dxa" w:w="80"/>
            </w:tcMar>
            <w:vAlign w:val="center"/>
          </w:tcPr>
          <w:p>
            <w:pPr>
              <w:spacing w:after="0"/>
              <w:jc w:val="center"/>
            </w:pPr>
            <w:r>
              <w:rPr>
                <w:rFonts w:ascii="Calibri" w:cs="Calibri" w:eastAsia="Calibri" w:hAnsi="Calibri"/>
                <w:b w:val="false"/>
                <w:bCs w:val="false"/>
                <w:color w:val="1A202C"/>
                <w:sz w:val="20"/>
                <w:szCs w:val="20"/>
              </w:rPr>
              <w:t xml:space="preserve">Position as analytical instrument, not algorithmic contribution; clarify that the optimizer is a measurement tool for structural analysis</w:t>
            </w:r>
          </w:p>
        </w:tc>
      </w:tr>
    </w:tbl>
    <w:p>
      <w:pPr>
        <w:spacing w:after="80"/>
      </w:pP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40"/>
            </w:pPr>
            <w:r>
              <w:rPr>
                <w:rFonts w:ascii="Calibri" w:cs="Calibri" w:eastAsia="Calibri" w:hAnsi="Calibri"/>
                <w:b/>
                <w:bCs/>
                <w:color w:val="2B6CB0"/>
                <w:sz w:val="21"/>
                <w:szCs w:val="21"/>
              </w:rPr>
              <w:t xml:space="preserve">Risk R1 Deep Dive</w:t>
            </w:r>
          </w:p>
          <w:p>
            <w:pPr>
              <w:spacing w:after="0" w:line="276"/>
            </w:pPr>
            <w:r>
              <w:rPr>
                <w:rFonts w:ascii="Calibri" w:cs="Calibri" w:eastAsia="Calibri" w:hAnsi="Calibri"/>
                <w:color w:val="1A202C"/>
                <w:sz w:val="20"/>
                <w:szCs w:val="20"/>
              </w:rPr>
              <w:t xml:space="preserve">The "obviousness" objection is the highest-probability risk. Counter-argument: While individual structural ceiling observations may seem intuitive, (1) no prior work has formalized them, (2) the universal law connecting two features to predict outcomes across 15 families is empirically non-trivial, and (3) the Optimize-or-Skip framework demonstrates practical value that no prior work has achieved.</w:t>
            </w:r>
          </w:p>
        </w:tc>
      </w:tr>
    </w:tbl>
    <w:p>
      <w:pPr>
        <w:pStyle w:val="Heading1"/>
        <w:spacing w:after="120" w:before="360"/>
      </w:pPr>
      <w:r>
        <w:rPr>
          <w:rFonts w:ascii="Calibri" w:cs="Calibri" w:eastAsia="Calibri" w:hAnsi="Calibri"/>
          <w:b/>
          <w:bCs/>
          <w:color w:val="1A3C5E"/>
          <w:sz w:val="32"/>
          <w:szCs w:val="32"/>
        </w:rPr>
        <w:t xml:space="preserve">11. Final Recommendation</w:t>
      </w:r>
    </w:p>
    <w:p>
      <w:pPr>
        <w:spacing w:after="40"/>
      </w:pPr>
    </w:p>
    <w:tbl>
      <w:tblPr>
        <w:tblW w:type="pct" w:w="100%"/>
        <w:tblBorders>
          <w:top w:val="single" w:color="4299E1" w:sz="1"/>
          <w:left w:val="single" w:color="4299E1" w:sz="6"/>
          <w:bottom w:val="single" w:color="4299E1" w:sz="1"/>
          <w:right w:val="single" w:color="4299E1" w:sz="1"/>
          <w:insideH w:val="single" w:color="auto" w:sz="4"/>
          <w:insideV w:val="single" w:color="auto" w:sz="4"/>
        </w:tblBorders>
      </w:tblPr>
      <w:tblGrid>
        <w:gridCol w:w="100"/>
      </w:tblGrid>
      <w:tr>
        <w:tc>
          <w:tcPr>
            <w:shd w:fill="F7FAFC" w:color="F7FAFC" w:val="solid"/>
            <w:tcMar>
              <w:top w:type="dxa" w:w="80"/>
              <w:left w:type="dxa" w:w="120"/>
              <w:bottom w:type="dxa" w:w="80"/>
              <w:right w:type="dxa" w:w="120"/>
            </w:tcMar>
          </w:tcPr>
          <w:p>
            <w:pPr>
              <w:spacing w:after="60"/>
            </w:pPr>
            <w:r>
              <w:rPr>
                <w:rFonts w:ascii="Calibri" w:cs="Calibri" w:eastAsia="Calibri" w:hAnsi="Calibri"/>
                <w:b/>
                <w:bCs/>
                <w:color w:val="2B6CB0"/>
                <w:sz w:val="21"/>
                <w:szCs w:val="21"/>
              </w:rPr>
              <w:t xml:space="preserve">Final Publication Strategy</w:t>
            </w:r>
          </w:p>
          <w:p>
            <w:pPr>
              <w:spacing w:after="80" w:line="276"/>
            </w:pPr>
            <w:r>
              <w:rPr>
                <w:rFonts w:ascii="Calibri" w:cs="Calibri" w:eastAsia="Calibri" w:hAnsi="Calibri"/>
                <w:b/>
                <w:bCs/>
                <w:color w:val="1A3C5E"/>
                <w:sz w:val="21"/>
                <w:szCs w:val="21"/>
              </w:rPr>
              <w:t xml:space="preserve">Submit a single integrated paper to Quantum (primary target) or ACM Transactions on Quantum Computing (secondary target).</w:t>
            </w:r>
          </w:p>
          <w:p>
            <w:pPr>
              <w:spacing w:after="80" w:line="276"/>
            </w:pPr>
            <w:r>
              <w:rPr>
                <w:rFonts w:ascii="Calibri" w:cs="Calibri" w:eastAsia="Calibri" w:hAnsi="Calibri"/>
                <w:color w:val="1A202C"/>
                <w:sz w:val="20"/>
                <w:szCs w:val="20"/>
              </w:rPr>
              <w:t xml:space="preserve">Narrative structure: Lead with the Structural Ceiling Theory → Support with benchmark data → Validate with the prediction model → Demonstrate with Optimize-or-Skip.</w:t>
            </w:r>
          </w:p>
          <w:p>
            <w:pPr>
              <w:spacing w:after="80" w:line="276"/>
            </w:pPr>
            <w:r>
              <w:rPr>
                <w:rFonts w:ascii="Calibri" w:cs="Calibri" w:eastAsia="Calibri" w:hAnsi="Calibri"/>
                <w:color w:val="1A202C"/>
                <w:sz w:val="20"/>
                <w:szCs w:val="20"/>
              </w:rPr>
              <w:t xml:space="preserve">Immediate action: Post arXiv preprint within 2 weeks to establish priority on the structural ceiling concept and Optimize-or-Skip framework.</w:t>
            </w:r>
          </w:p>
          <w:p>
            <w:pPr>
              <w:spacing w:after="0" w:line="276"/>
            </w:pPr>
            <w:r>
              <w:rPr>
                <w:rFonts w:ascii="Calibri" w:cs="Calibri" w:eastAsia="Calibri" w:hAnsi="Calibri"/>
                <w:b/>
                <w:bCs/>
                <w:color w:val="276749"/>
                <w:sz w:val="21"/>
                <w:szCs w:val="21"/>
              </w:rPr>
              <w:t xml:space="preserve">Expected acceptance probability: 30–45% after completing all Priority 1 and Priority 2 revisions.</w:t>
            </w:r>
          </w:p>
        </w:tc>
      </w:tr>
    </w:tbl>
    <w:p>
      <w:pPr>
        <w:spacing w:after="80"/>
      </w:pPr>
    </w:p>
    <w:p>
      <w:pPr>
        <w:spacing w:after="120" w:line="276"/>
      </w:pPr>
      <w:r>
        <w:rPr>
          <w:rFonts w:ascii="Calibri" w:cs="Calibri" w:eastAsia="Calibri" w:hAnsi="Calibri"/>
          <w:color w:val="1A202C"/>
          <w:sz w:val="22"/>
          <w:szCs w:val="22"/>
        </w:rPr>
        <w:t xml:space="preserve">The research presented across all deliverables forms a coherent, novel, and practically valuable contribution to quantum compilation. The structural ceiling theory, universal prediction law, and Optimize-or-Skip framework collectively represent a paradigm shift from "how to optimize" to "when is optimization possible." With the revisions and additional experiments outlined in this document, the paper has a strong chance of acceptance at a top-tier venue.</w:t>
      </w:r>
    </w:p>
    <w:p>
      <w:pPr>
        <w:spacing w:after="60"/>
      </w:pPr>
    </w:p>
    <w:p>
      <w:pPr>
        <w:pBdr>
          <w:bottom w:val="single" w:color="A0AEC0" w:sz="1"/>
        </w:pBdr>
        <w:spacing w:after="120" w:before="120"/>
      </w:pPr>
    </w:p>
    <w:p>
      <w:pPr>
        <w:spacing w:after="40"/>
      </w:pPr>
    </w:p>
    <w:p>
      <w:pPr>
        <w:spacing w:after="60"/>
        <w:jc w:val="center"/>
      </w:pPr>
      <w:r>
        <w:rPr>
          <w:rFonts w:ascii="Calibri" w:cs="Calibri" w:eastAsia="Calibri" w:hAnsi="Calibri"/>
          <w:i/>
          <w:iCs/>
          <w:color w:val="A0AEC0"/>
          <w:sz w:val="20"/>
          <w:szCs w:val="20"/>
        </w:rPr>
        <w:t xml:space="preserve">--- End of Deliverable 7 ---</w:t>
      </w:r>
    </w:p>
    <w:sectPr>
      <w:headerReference w:type="default" r:id="rId7"/>
      <w:footerReference w:type="default" r:id="rId8"/>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EC0" w:sz="1"/>
      </w:pBdr>
      <w:jc w:val="center"/>
    </w:pPr>
    <w:r>
      <w:rPr>
        <w:rFonts w:ascii="Calibri" w:cs="Calibri" w:eastAsia="Calibri" w:hAnsi="Calibri"/>
        <w:color w:val="A0AEC0"/>
        <w:sz w:val="16"/>
        <w:szCs w:val="16"/>
      </w:rPr>
      <w:t xml:space="preserve">Page </w:t>
    </w:r>
    <w:r>
      <w:rPr>
        <w:rFonts w:ascii="Calibri" w:cs="Calibri" w:eastAsia="Calibri" w:hAnsi="Calibri"/>
        <w:color w:val="2B6CB0"/>
        <w:sz w:val="16"/>
        <w:szCs w:val="16"/>
      </w:rPr>
      <w:fldChar w:fldCharType="begin"/>
      <w:instrText xml:space="preserve">PAGE</w:instrText>
      <w:fldChar w:fldCharType="separate"/>
      <w:fldChar w:fldCharType="end"/>
    </w:r>
    <w:r>
      <w:rPr>
        <w:rFonts w:ascii="Calibri" w:cs="Calibri" w:eastAsia="Calibri" w:hAnsi="Calibri"/>
        <w:color w:val="A0AEC0"/>
        <w:sz w:val="16"/>
        <w:szCs w:val="16"/>
      </w:rPr>
      <w:t xml:space="preserve"> of </w:t>
    </w:r>
    <w:r>
      <w:rPr>
        <w:rFonts w:ascii="Calibri" w:cs="Calibri" w:eastAsia="Calibri" w:hAnsi="Calibri"/>
        <w:color w:val="2B6C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AEC0" w:sz="1"/>
      </w:pBdr>
      <w:spacing w:after="0"/>
      <w:jc w:val="right"/>
    </w:pPr>
    <w:r>
      <w:rPr>
        <w:rFonts w:ascii="Calibri" w:cs="Calibri" w:eastAsia="Calibri" w:hAnsi="Calibri"/>
        <w:i/>
        <w:iCs/>
        <w:color w:val="2B6CB0"/>
        <w:sz w:val="18"/>
        <w:szCs w:val="18"/>
      </w:rPr>
      <w:t xml:space="preserve">D7: Publication Narrative Recommendation</w:t>
    </w:r>
    <w:r>
      <w:rPr>
        <w:rFonts w:ascii="Calibri" w:cs="Calibri" w:eastAsia="Calibri" w:hAnsi="Calibri"/>
        <w:color w:val="A0AEC0"/>
        <w:sz w:val="18"/>
        <w:szCs w:val="18"/>
      </w:rPr>
      <w:t xml:space="preserve">  |  Quantum Circuit Optimization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Strategy and Narrative Recommendation for Structural Ceiling Research</dc:title>
  <dc:creator>Quantum Circuit Optimization Research Team</dc:creator>
  <dc:description>Deliverable 7: Publication narrative and strategy recommendation</dc:description>
  <cp:lastModifiedBy>Un-named</cp:lastModifiedBy>
  <cp:revision>1</cp:revision>
  <dcterms:created xsi:type="dcterms:W3CDTF">2026-06-11T14:25:33.737Z</dcterms:created>
  <dcterms:modified xsi:type="dcterms:W3CDTF">2026-06-11T14:25:33.738Z</dcterms:modified>
</cp:coreProperties>
</file>

<file path=docProps/custom.xml><?xml version="1.0" encoding="utf-8"?>
<Properties xmlns="http://schemas.openxmlformats.org/officeDocument/2006/custom-properties" xmlns:vt="http://schemas.openxmlformats.org/officeDocument/2006/docPropsVTypes"/>
</file>