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OpenSimulator 第一阶段重构实施指南</w:t>
      </w:r>
    </w:p>
    <w:p>
      <w:pPr>
        <w:pStyle w:val="Subtitle"/>
      </w:pPr>
      <w:r>
        <w:t>代码库升级 依赖现代化与语言选型</w:t>
      </w:r>
    </w:p>
    <w:p>
      <w:r>
        <w:rPr>
          <w:b w:val="0"/>
          <w:sz w:val="18"/>
        </w:rPr>
        <w:t>版本 3.0　编制日期 2026年9月10日　按个人实施顺序编排</w:t>
      </w:r>
    </w:p>
    <w:p>
      <w:r>
        <w:rPr>
          <w:b w:val="0"/>
        </w:rPr>
        <w:t>第一阶段的目标是建立能够持续维护和升级的 OpenSimulator：源码可以重复构建，依赖来源清楚，运行时受到支持，关键行为受到测试保护，模块之间有明确边界。本文重点说明这些工作怎样逐项实施，并为后续接入大模型保留接口。</w:t>
      </w:r>
    </w:p>
    <w:p>
      <w:r>
        <w:rPr>
          <w:b/>
        </w:rPr>
        <w:t>建议继续使用 C# 作为平台主体。先完成 C# 与 .NET 生态内的现代化；确有 Python 库或研究代码需要时，再增加独立的 Python 智能体服务。新增 C++ 模块应由性能测量和原生库需求决定。</w:t>
      </w:r>
    </w:p>
    <w:p>
      <w:pPr>
        <w:pStyle w:val="Heading2"/>
      </w:pPr>
      <w:r>
        <w:t>现代化需要完成的四件事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025"/>
        <w:gridCol w:w="4025"/>
      </w:tblGrid>
      <w:tr>
        <w:trPr>
          <w:cantSplit/>
          <w:tblHeader/>
        </w:trPr>
        <w:tc>
          <w:tcPr>
            <w:tcW w:type="dxa" w:w="1587"/>
            <w:vAlign w:val="center"/>
            <w:tcMar>
              <w:top w:w="85" w:type="dxa"/>
              <w:bottom w:w="85" w:type="dxa"/>
              <w:left w:w="110" w:type="dxa"/>
              <w:right w:w="110" w:type="dxa"/>
            </w:tcMar>
            <w:shd w:fill="243746"/>
          </w:tcPr>
          <w:p>
            <w:pPr>
              <w:keepNext/>
              <w:spacing w:after="0" w:line="280" w:lineRule="exact"/>
              <w:jc w:val="center"/>
            </w:pPr>
            <w:r>
              <w:rPr>
                <w:b/>
                <w:color w:val="FFFFFF"/>
                <w:sz w:val="19"/>
              </w:rPr>
              <w:t>方面</w:t>
            </w:r>
          </w:p>
        </w:tc>
        <w:tc>
          <w:tcPr>
            <w:tcW w:type="dxa" w:w="4025"/>
            <w:vAlign w:val="center"/>
            <w:tcMar>
              <w:top w:w="85" w:type="dxa"/>
              <w:bottom w:w="85" w:type="dxa"/>
              <w:left w:w="110" w:type="dxa"/>
              <w:right w:w="110" w:type="dxa"/>
            </w:tcMar>
            <w:shd w:fill="243746"/>
          </w:tcPr>
          <w:p>
            <w:pPr>
              <w:keepNext/>
              <w:spacing w:after="0" w:line="280" w:lineRule="exact"/>
            </w:pPr>
            <w:r>
              <w:rPr>
                <w:b/>
                <w:color w:val="FFFFFF"/>
                <w:sz w:val="19"/>
              </w:rPr>
              <w:t>具体变化</w:t>
            </w:r>
          </w:p>
        </w:tc>
        <w:tc>
          <w:tcPr>
            <w:tcW w:type="dxa" w:w="4025"/>
            <w:vAlign w:val="center"/>
            <w:tcMar>
              <w:top w:w="85" w:type="dxa"/>
              <w:bottom w:w="85" w:type="dxa"/>
              <w:left w:w="110" w:type="dxa"/>
              <w:right w:w="110" w:type="dxa"/>
            </w:tcMar>
            <w:shd w:fill="243746"/>
          </w:tcPr>
          <w:p>
            <w:pPr>
              <w:keepNext/>
              <w:spacing w:after="0" w:line="280" w:lineRule="exact"/>
            </w:pPr>
            <w:r>
              <w:rPr>
                <w:b/>
                <w:color w:val="FFFFFF"/>
                <w:sz w:val="19"/>
              </w:rPr>
              <w:t>判断依据</w:t>
            </w:r>
          </w:p>
        </w:tc>
      </w:tr>
      <w:tr>
        <w:trPr>
          <w:cantSplit/>
        </w:trPr>
        <w:tc>
          <w:tcPr>
            <w:tcW w:type="dxa" w:w="1587"/>
            <w:vAlign w:val="center"/>
            <w:tcMar>
              <w:top w:w="85" w:type="dxa"/>
              <w:bottom w:w="85" w:type="dxa"/>
              <w:left w:w="110" w:type="dxa"/>
              <w:right w:w="110" w:type="dxa"/>
            </w:tcMar>
            <w:shd w:fill="FFFFFF"/>
          </w:tcPr>
          <w:p>
            <w:pPr>
              <w:keepNext w:val="0"/>
              <w:spacing w:after="0" w:line="280" w:lineRule="exact"/>
              <w:jc w:val="center"/>
            </w:pPr>
            <w:r>
              <w:rPr>
                <w:sz w:val="19"/>
              </w:rPr>
              <w:t>构建与依赖</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固定源码和工具链，整理项目引用与包管理，建立自动构建。</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干净环境能够恢复依赖、构建和运行；每个产物可追溯。</w:t>
            </w:r>
          </w:p>
        </w:tc>
      </w:tr>
      <w:tr>
        <w:trPr>
          <w:cantSplit/>
        </w:trPr>
        <w:tc>
          <w:tcPr>
            <w:tcW w:type="dxa" w:w="1587"/>
            <w:vAlign w:val="center"/>
            <w:tcMar>
              <w:top w:w="85" w:type="dxa"/>
              <w:bottom w:w="85" w:type="dxa"/>
              <w:left w:w="110" w:type="dxa"/>
              <w:right w:w="110" w:type="dxa"/>
            </w:tcMar>
            <w:shd w:fill="F3F6F8"/>
          </w:tcPr>
          <w:p>
            <w:pPr>
              <w:keepNext w:val="0"/>
              <w:spacing w:after="0" w:line="280" w:lineRule="exact"/>
              <w:jc w:val="center"/>
            </w:pPr>
            <w:r>
              <w:rPr>
                <w:sz w:val="19"/>
              </w:rPr>
              <w:t>运行时与兼容</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验证 .NET 10，处理脚本状态、插件和原生库的升级障碍。</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原世界内容与关键行为可恢复，目标平台上的兼容用例通过。</w:t>
            </w:r>
          </w:p>
        </w:tc>
      </w:tr>
      <w:tr>
        <w:trPr>
          <w:cantSplit/>
        </w:trPr>
        <w:tc>
          <w:tcPr>
            <w:tcW w:type="dxa" w:w="1587"/>
            <w:vAlign w:val="center"/>
            <w:tcMar>
              <w:top w:w="85" w:type="dxa"/>
              <w:bottom w:w="85" w:type="dxa"/>
              <w:left w:w="110" w:type="dxa"/>
              <w:right w:w="110" w:type="dxa"/>
            </w:tcMar>
            <w:shd w:fill="FFFFFF"/>
          </w:tcPr>
          <w:p>
            <w:pPr>
              <w:keepNext w:val="0"/>
              <w:spacing w:after="0" w:line="280" w:lineRule="exact"/>
              <w:jc w:val="center"/>
            </w:pPr>
            <w:r>
              <w:rPr>
                <w:sz w:val="19"/>
              </w:rPr>
              <w:t>代码结构</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按业务用例拆分职责，隔离引擎类型、外部访问和状态管理。</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改造后的用例能独立测试，旧入口与新入口的行为保持一致。</w:t>
            </w:r>
          </w:p>
        </w:tc>
      </w:tr>
      <w:tr>
        <w:trPr>
          <w:cantSplit/>
        </w:trPr>
        <w:tc>
          <w:tcPr>
            <w:tcW w:type="dxa" w:w="1587"/>
            <w:vAlign w:val="center"/>
            <w:tcMar>
              <w:top w:w="85" w:type="dxa"/>
              <w:bottom w:w="85" w:type="dxa"/>
              <w:left w:w="110" w:type="dxa"/>
              <w:right w:w="110" w:type="dxa"/>
            </w:tcMar>
            <w:shd w:fill="F3F6F8"/>
          </w:tcPr>
          <w:p>
            <w:pPr>
              <w:keepNext w:val="0"/>
              <w:spacing w:after="0" w:line="280" w:lineRule="exact"/>
              <w:jc w:val="center"/>
            </w:pPr>
            <w:r>
              <w:rPr>
                <w:sz w:val="19"/>
              </w:rPr>
              <w:t>工程质量</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逐步引入现代 C# 写法、异步边界、测试和发布回退流程。</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异常、取消、并发和卸载可验证，变更可以小批量交付。</w:t>
            </w:r>
          </w:p>
        </w:tc>
      </w:tr>
    </w:tbl>
    <w:p>
      <w:pPr>
        <w:spacing w:after="20" w:before="0" w:line="240" w:lineRule="auto"/>
      </w:pPr>
      <w:r>
        <w:rPr>
          <w:sz w:val="4"/>
        </w:rPr>
      </w:r>
    </w:p>
    <w:p>
      <w:pPr>
        <w:pStyle w:val="Heading2"/>
      </w:pPr>
      <w:r>
        <w:t>第一阶段的范围</w:t>
      </w:r>
    </w:p>
    <w:p>
      <w:r>
        <w:rPr>
          <w:b w:val="0"/>
        </w:rPr>
        <w:t>全库先做盘点与分级，再按明确的模块清单逐批迁移。首批覆盖构建、关键依赖、运行时，以及 NPC 和聊天观察路径；后续沿同一方法扩展到对象操作、资产库存与数据访问。每批都有独立验收，不能用首批成功代替全平台完成。</w:t>
      </w:r>
    </w:p>
    <w:p>
      <w:r>
        <w:rPr>
          <w:b w:val="0"/>
        </w:rPr>
        <w:t>保持现有 Viewer 协议、LSL/OSSL 脚本语义以及资产和库存语义。第一阶段用固定规则的模拟调用端验证接口；真实模型、复杂智能体编排和跨区域能力在后续阶段实施。</w:t>
      </w:r>
    </w:p>
    <w:p>
      <w:pPr>
        <w:pStyle w:val="Heading2"/>
      </w:pPr>
      <w:r>
        <w:t>阅读顺序</w:t>
      </w:r>
    </w:p>
    <w:p>
      <w:r>
        <w:rPr>
          <w:b w:val="0"/>
        </w:rPr>
        <w:t>第 2 页比较语言路线；第 3 至 4 页明确现状和开发基线；第 5 至 9 页说明工程、依赖及运行时迁移；第 10 至 11 页说明代码重构；第 12 至 14 页给出测试、发布与启动任务；第 15 页列出技术依据。</w:t>
      </w:r>
    </w:p>
    <w:p>
      <w:r>
        <w:br w:type="page"/>
      </w:r>
    </w:p>
    <w:p>
      <w:pPr>
        <w:pStyle w:val="Heading1"/>
      </w:pPr>
      <w:r>
        <w:t>语言选择与混合架构</w:t>
      </w:r>
    </w:p>
    <w:p>
      <w:r>
        <w:rPr>
          <w:b w:val="0"/>
        </w:rPr>
        <w:t>保留 C# 的主要理由是现有业务与协议实现已经建立在 .NET 类型、接口、插件和生命周期之上。更换语言需要重新实现并验证这些行为，工作性质会从渐进式重构转为平台重写。现代化能力和语言迁移应分开判断。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005"/>
        <w:gridCol w:w="3798"/>
        <w:gridCol w:w="1304"/>
      </w:tblGrid>
      <w:tr>
        <w:trPr>
          <w:cantSplit/>
          <w:tblHeader/>
        </w:trPr>
        <w:tc>
          <w:tcPr>
            <w:tcW w:type="dxa" w:w="1531"/>
            <w:vAlign w:val="center"/>
            <w:tcMar>
              <w:top w:w="85" w:type="dxa"/>
              <w:bottom w:w="85" w:type="dxa"/>
              <w:left w:w="110" w:type="dxa"/>
              <w:right w:w="110" w:type="dxa"/>
            </w:tcMar>
            <w:shd w:fill="243746"/>
          </w:tcPr>
          <w:p>
            <w:pPr>
              <w:keepNext/>
              <w:spacing w:after="0" w:line="280" w:lineRule="exact"/>
              <w:jc w:val="center"/>
            </w:pPr>
            <w:r>
              <w:rPr>
                <w:b/>
                <w:color w:val="FFFFFF"/>
                <w:sz w:val="19"/>
              </w:rPr>
              <w:t>路线</w:t>
            </w:r>
          </w:p>
        </w:tc>
        <w:tc>
          <w:tcPr>
            <w:tcW w:type="dxa" w:w="3005"/>
            <w:vAlign w:val="center"/>
            <w:tcMar>
              <w:top w:w="85" w:type="dxa"/>
              <w:bottom w:w="85" w:type="dxa"/>
              <w:left w:w="110" w:type="dxa"/>
              <w:right w:w="110" w:type="dxa"/>
            </w:tcMar>
            <w:shd w:fill="243746"/>
          </w:tcPr>
          <w:p>
            <w:pPr>
              <w:keepNext/>
              <w:spacing w:after="0" w:line="280" w:lineRule="exact"/>
            </w:pPr>
            <w:r>
              <w:rPr>
                <w:b/>
                <w:color w:val="FFFFFF"/>
                <w:sz w:val="19"/>
              </w:rPr>
              <w:t>适合承担的工作</w:t>
            </w:r>
          </w:p>
        </w:tc>
        <w:tc>
          <w:tcPr>
            <w:tcW w:type="dxa" w:w="3798"/>
            <w:vAlign w:val="center"/>
            <w:tcMar>
              <w:top w:w="85" w:type="dxa"/>
              <w:bottom w:w="85" w:type="dxa"/>
              <w:left w:w="110" w:type="dxa"/>
              <w:right w:w="110" w:type="dxa"/>
            </w:tcMar>
            <w:shd w:fill="243746"/>
          </w:tcPr>
          <w:p>
            <w:pPr>
              <w:keepNext/>
              <w:spacing w:after="0" w:line="280" w:lineRule="exact"/>
            </w:pPr>
            <w:r>
              <w:rPr>
                <w:b/>
                <w:color w:val="FFFFFF"/>
                <w:sz w:val="19"/>
              </w:rPr>
              <w:t>主要代价</w:t>
            </w:r>
          </w:p>
        </w:tc>
        <w:tc>
          <w:tcPr>
            <w:tcW w:type="dxa" w:w="1304"/>
            <w:vAlign w:val="center"/>
            <w:tcMar>
              <w:top w:w="85" w:type="dxa"/>
              <w:bottom w:w="85" w:type="dxa"/>
              <w:left w:w="110" w:type="dxa"/>
              <w:right w:w="110" w:type="dxa"/>
            </w:tcMar>
            <w:shd w:fill="243746"/>
          </w:tcPr>
          <w:p>
            <w:pPr>
              <w:keepNext/>
              <w:spacing w:after="0" w:line="280" w:lineRule="exact"/>
            </w:pPr>
            <w:r>
              <w:rPr>
                <w:b/>
                <w:color w:val="FFFFFF"/>
                <w:sz w:val="19"/>
              </w:rPr>
              <w:t>建议</w:t>
            </w:r>
          </w:p>
        </w:tc>
      </w:tr>
      <w:tr>
        <w:trPr>
          <w:cantSplit/>
        </w:trPr>
        <w:tc>
          <w:tcPr>
            <w:tcW w:type="dxa" w:w="1531"/>
            <w:vAlign w:val="center"/>
            <w:tcMar>
              <w:top w:w="85" w:type="dxa"/>
              <w:bottom w:w="85" w:type="dxa"/>
              <w:left w:w="110" w:type="dxa"/>
              <w:right w:w="110" w:type="dxa"/>
            </w:tcMar>
            <w:shd w:fill="FFFFFF"/>
          </w:tcPr>
          <w:p>
            <w:pPr>
              <w:keepNext w:val="0"/>
              <w:spacing w:after="0" w:line="280" w:lineRule="exact"/>
              <w:jc w:val="center"/>
            </w:pPr>
            <w:r>
              <w:rPr>
                <w:sz w:val="19"/>
              </w:rPr>
              <w:t>继续使用 C#</w:t>
            </w:r>
          </w:p>
        </w:tc>
        <w:tc>
          <w:tcPr>
            <w:tcW w:type="dxa" w:w="3005"/>
            <w:vAlign w:val="center"/>
            <w:tcMar>
              <w:top w:w="85" w:type="dxa"/>
              <w:bottom w:w="85" w:type="dxa"/>
              <w:left w:w="110" w:type="dxa"/>
              <w:right w:w="110" w:type="dxa"/>
            </w:tcMar>
            <w:shd w:fill="FFFFFF"/>
          </w:tcPr>
          <w:p>
            <w:pPr>
              <w:keepNext w:val="0"/>
              <w:spacing w:after="0" w:line="280" w:lineRule="exact"/>
            </w:pPr>
            <w:r>
              <w:rPr>
                <w:sz w:val="19"/>
              </w:rPr>
              <w:t>世界模拟、协议、资产库存、脚本宿主、管理接口与模型服务。</w:t>
            </w:r>
          </w:p>
        </w:tc>
        <w:tc>
          <w:tcPr>
            <w:tcW w:type="dxa" w:w="3798"/>
            <w:vAlign w:val="center"/>
            <w:tcMar>
              <w:top w:w="85" w:type="dxa"/>
              <w:bottom w:w="85" w:type="dxa"/>
              <w:left w:w="110" w:type="dxa"/>
              <w:right w:w="110" w:type="dxa"/>
            </w:tcMar>
            <w:shd w:fill="FFFFFF"/>
          </w:tcPr>
          <w:p>
            <w:pPr>
              <w:keepNext w:val="0"/>
              <w:spacing w:after="0" w:line="280" w:lineRule="exact"/>
            </w:pPr>
            <w:r>
              <w:rPr>
                <w:sz w:val="19"/>
              </w:rPr>
              <w:t>需要整理旧依赖、状态格式和耦合关系。</w:t>
            </w:r>
          </w:p>
        </w:tc>
        <w:tc>
          <w:tcPr>
            <w:tcW w:type="dxa" w:w="1304"/>
            <w:vAlign w:val="center"/>
            <w:tcMar>
              <w:top w:w="85" w:type="dxa"/>
              <w:bottom w:w="85" w:type="dxa"/>
              <w:left w:w="110" w:type="dxa"/>
              <w:right w:w="110" w:type="dxa"/>
            </w:tcMar>
            <w:shd w:fill="FFFFFF"/>
          </w:tcPr>
          <w:p>
            <w:pPr>
              <w:keepNext w:val="0"/>
              <w:spacing w:after="0" w:line="280" w:lineRule="exact"/>
            </w:pPr>
            <w:r>
              <w:rPr>
                <w:sz w:val="19"/>
              </w:rPr>
              <w:t>当前主路线。</w:t>
            </w:r>
          </w:p>
        </w:tc>
      </w:tr>
      <w:tr>
        <w:trPr>
          <w:cantSplit/>
        </w:trPr>
        <w:tc>
          <w:tcPr>
            <w:tcW w:type="dxa" w:w="1531"/>
            <w:vAlign w:val="center"/>
            <w:tcMar>
              <w:top w:w="85" w:type="dxa"/>
              <w:bottom w:w="85" w:type="dxa"/>
              <w:left w:w="110" w:type="dxa"/>
              <w:right w:w="110" w:type="dxa"/>
            </w:tcMar>
            <w:shd w:fill="F3F6F8"/>
          </w:tcPr>
          <w:p>
            <w:pPr>
              <w:keepNext w:val="0"/>
              <w:spacing w:after="0" w:line="280" w:lineRule="exact"/>
              <w:jc w:val="center"/>
            </w:pPr>
            <w:r>
              <w:rPr>
                <w:sz w:val="19"/>
              </w:rPr>
              <w:t>整体改为 C++</w:t>
            </w:r>
          </w:p>
        </w:tc>
        <w:tc>
          <w:tcPr>
            <w:tcW w:type="dxa" w:w="3005"/>
            <w:vAlign w:val="center"/>
            <w:tcMar>
              <w:top w:w="85" w:type="dxa"/>
              <w:bottom w:w="85" w:type="dxa"/>
              <w:left w:w="110" w:type="dxa"/>
              <w:right w:w="110" w:type="dxa"/>
            </w:tcMar>
            <w:shd w:fill="F3F6F8"/>
          </w:tcPr>
          <w:p>
            <w:pPr>
              <w:keepNext w:val="0"/>
              <w:spacing w:after="0" w:line="280" w:lineRule="exact"/>
            </w:pPr>
            <w:r>
              <w:rPr>
                <w:sz w:val="19"/>
              </w:rPr>
              <w:t>重新设计一个原生引擎。</w:t>
            </w:r>
          </w:p>
        </w:tc>
        <w:tc>
          <w:tcPr>
            <w:tcW w:type="dxa" w:w="3798"/>
            <w:vAlign w:val="center"/>
            <w:tcMar>
              <w:top w:w="85" w:type="dxa"/>
              <w:bottom w:w="85" w:type="dxa"/>
              <w:left w:w="110" w:type="dxa"/>
              <w:right w:w="110" w:type="dxa"/>
            </w:tcMar>
            <w:shd w:fill="F3F6F8"/>
          </w:tcPr>
          <w:p>
            <w:pPr>
              <w:keepNext w:val="0"/>
              <w:spacing w:after="0" w:line="280" w:lineRule="exact"/>
            </w:pPr>
            <w:r>
              <w:rPr>
                <w:sz w:val="19"/>
              </w:rPr>
              <w:t>重写业务与插件边界，承担内存、并发、ABI 和跨平台构建成本。</w:t>
            </w:r>
          </w:p>
        </w:tc>
        <w:tc>
          <w:tcPr>
            <w:tcW w:type="dxa" w:w="1304"/>
            <w:vAlign w:val="center"/>
            <w:tcMar>
              <w:top w:w="85" w:type="dxa"/>
              <w:bottom w:w="85" w:type="dxa"/>
              <w:left w:w="110" w:type="dxa"/>
              <w:right w:w="110" w:type="dxa"/>
            </w:tcMar>
            <w:shd w:fill="F3F6F8"/>
          </w:tcPr>
          <w:p>
            <w:pPr>
              <w:keepNext w:val="0"/>
              <w:spacing w:after="0" w:line="280" w:lineRule="exact"/>
            </w:pPr>
            <w:r>
              <w:rPr>
                <w:sz w:val="19"/>
              </w:rPr>
              <w:t>当前不采用。</w:t>
            </w:r>
          </w:p>
        </w:tc>
      </w:tr>
      <w:tr>
        <w:trPr>
          <w:cantSplit/>
        </w:trPr>
        <w:tc>
          <w:tcPr>
            <w:tcW w:type="dxa" w:w="1531"/>
            <w:vAlign w:val="center"/>
            <w:tcMar>
              <w:top w:w="85" w:type="dxa"/>
              <w:bottom w:w="85" w:type="dxa"/>
              <w:left w:w="110" w:type="dxa"/>
              <w:right w:w="110" w:type="dxa"/>
            </w:tcMar>
            <w:shd w:fill="FFFFFF"/>
          </w:tcPr>
          <w:p>
            <w:pPr>
              <w:keepNext w:val="0"/>
              <w:spacing w:after="0" w:line="280" w:lineRule="exact"/>
              <w:jc w:val="center"/>
            </w:pPr>
            <w:r>
              <w:rPr>
                <w:sz w:val="19"/>
              </w:rPr>
              <w:t>整体改为 Python</w:t>
            </w:r>
          </w:p>
        </w:tc>
        <w:tc>
          <w:tcPr>
            <w:tcW w:type="dxa" w:w="3005"/>
            <w:vAlign w:val="center"/>
            <w:tcMar>
              <w:top w:w="85" w:type="dxa"/>
              <w:bottom w:w="85" w:type="dxa"/>
              <w:left w:w="110" w:type="dxa"/>
              <w:right w:w="110" w:type="dxa"/>
            </w:tcMar>
            <w:shd w:fill="FFFFFF"/>
          </w:tcPr>
          <w:p>
            <w:pPr>
              <w:keepNext w:val="0"/>
              <w:spacing w:after="0" w:line="280" w:lineRule="exact"/>
            </w:pPr>
            <w:r>
              <w:rPr>
                <w:sz w:val="19"/>
              </w:rPr>
              <w:t>重新构建不同目标的平台或研究原型。</w:t>
            </w:r>
          </w:p>
        </w:tc>
        <w:tc>
          <w:tcPr>
            <w:tcW w:type="dxa" w:w="3798"/>
            <w:vAlign w:val="center"/>
            <w:tcMar>
              <w:top w:w="85" w:type="dxa"/>
              <w:bottom w:w="85" w:type="dxa"/>
              <w:left w:w="110" w:type="dxa"/>
              <w:right w:w="110" w:type="dxa"/>
            </w:tcMar>
            <w:shd w:fill="FFFFFF"/>
          </w:tcPr>
          <w:p>
            <w:pPr>
              <w:keepNext w:val="0"/>
              <w:spacing w:after="0" w:line="280" w:lineRule="exact"/>
            </w:pPr>
            <w:r>
              <w:rPr>
                <w:sz w:val="19"/>
              </w:rPr>
              <w:t>无法直接保留现有 C# 业务实现；需重做实时任务调度和兼容验证。</w:t>
            </w:r>
          </w:p>
        </w:tc>
        <w:tc>
          <w:tcPr>
            <w:tcW w:type="dxa" w:w="1304"/>
            <w:vAlign w:val="center"/>
            <w:tcMar>
              <w:top w:w="85" w:type="dxa"/>
              <w:bottom w:w="85" w:type="dxa"/>
              <w:left w:w="110" w:type="dxa"/>
              <w:right w:w="110" w:type="dxa"/>
            </w:tcMar>
            <w:shd w:fill="FFFFFF"/>
          </w:tcPr>
          <w:p>
            <w:pPr>
              <w:keepNext w:val="0"/>
              <w:spacing w:after="0" w:line="280" w:lineRule="exact"/>
            </w:pPr>
            <w:r>
              <w:rPr>
                <w:sz w:val="19"/>
              </w:rPr>
              <w:t>当前不采用。</w:t>
            </w:r>
          </w:p>
        </w:tc>
      </w:tr>
      <w:tr>
        <w:trPr>
          <w:cantSplit/>
        </w:trPr>
        <w:tc>
          <w:tcPr>
            <w:tcW w:type="dxa" w:w="1531"/>
            <w:vAlign w:val="center"/>
            <w:tcMar>
              <w:top w:w="85" w:type="dxa"/>
              <w:bottom w:w="85" w:type="dxa"/>
              <w:left w:w="110" w:type="dxa"/>
              <w:right w:w="110" w:type="dxa"/>
            </w:tcMar>
            <w:shd w:fill="F3F6F8"/>
          </w:tcPr>
          <w:p>
            <w:pPr>
              <w:keepNext w:val="0"/>
              <w:spacing w:after="0" w:line="280" w:lineRule="exact"/>
              <w:jc w:val="center"/>
            </w:pPr>
            <w:r>
              <w:rPr>
                <w:sz w:val="19"/>
              </w:rPr>
              <w:t>C# 加 Python</w:t>
            </w:r>
          </w:p>
        </w:tc>
        <w:tc>
          <w:tcPr>
            <w:tcW w:type="dxa" w:w="3005"/>
            <w:vAlign w:val="center"/>
            <w:tcMar>
              <w:top w:w="85" w:type="dxa"/>
              <w:bottom w:w="85" w:type="dxa"/>
              <w:left w:w="110" w:type="dxa"/>
              <w:right w:w="110" w:type="dxa"/>
            </w:tcMar>
            <w:shd w:fill="F3F6F8"/>
          </w:tcPr>
          <w:p>
            <w:pPr>
              <w:keepNext w:val="0"/>
              <w:spacing w:after="0" w:line="280" w:lineRule="exact"/>
            </w:pPr>
            <w:r>
              <w:rPr>
                <w:sz w:val="19"/>
              </w:rPr>
              <w:t>C# 维护世界；Python 承担确有需要的智能体、模型实验或离线处理。</w:t>
            </w:r>
          </w:p>
        </w:tc>
        <w:tc>
          <w:tcPr>
            <w:tcW w:type="dxa" w:w="3798"/>
            <w:vAlign w:val="center"/>
            <w:tcMar>
              <w:top w:w="85" w:type="dxa"/>
              <w:bottom w:w="85" w:type="dxa"/>
              <w:left w:w="110" w:type="dxa"/>
              <w:right w:w="110" w:type="dxa"/>
            </w:tcMar>
            <w:shd w:fill="F3F6F8"/>
          </w:tcPr>
          <w:p>
            <w:pPr>
              <w:keepNext w:val="0"/>
              <w:spacing w:after="0" w:line="280" w:lineRule="exact"/>
            </w:pPr>
            <w:r>
              <w:rPr>
                <w:sz w:val="19"/>
              </w:rPr>
              <w:t>维护两个运行环境、进程通信、版本和错误处理。</w:t>
            </w:r>
          </w:p>
        </w:tc>
        <w:tc>
          <w:tcPr>
            <w:tcW w:type="dxa" w:w="1304"/>
            <w:vAlign w:val="center"/>
            <w:tcMar>
              <w:top w:w="85" w:type="dxa"/>
              <w:bottom w:w="85" w:type="dxa"/>
              <w:left w:w="110" w:type="dxa"/>
              <w:right w:w="110" w:type="dxa"/>
            </w:tcMar>
            <w:shd w:fill="F3F6F8"/>
          </w:tcPr>
          <w:p>
            <w:pPr>
              <w:keepNext w:val="0"/>
              <w:spacing w:after="0" w:line="280" w:lineRule="exact"/>
            </w:pPr>
            <w:r>
              <w:rPr>
                <w:sz w:val="19"/>
              </w:rPr>
              <w:t>需求明确后采用。</w:t>
            </w:r>
          </w:p>
        </w:tc>
      </w:tr>
      <w:tr>
        <w:trPr>
          <w:cantSplit/>
        </w:trPr>
        <w:tc>
          <w:tcPr>
            <w:tcW w:type="dxa" w:w="1531"/>
            <w:vAlign w:val="center"/>
            <w:tcMar>
              <w:top w:w="85" w:type="dxa"/>
              <w:bottom w:w="85" w:type="dxa"/>
              <w:left w:w="110" w:type="dxa"/>
              <w:right w:w="110" w:type="dxa"/>
            </w:tcMar>
            <w:shd w:fill="FFFFFF"/>
          </w:tcPr>
          <w:p>
            <w:pPr>
              <w:keepNext w:val="0"/>
              <w:spacing w:after="0" w:line="280" w:lineRule="exact"/>
              <w:jc w:val="center"/>
            </w:pPr>
            <w:r>
              <w:rPr>
                <w:sz w:val="19"/>
              </w:rPr>
              <w:t>C# 加 C++</w:t>
            </w:r>
          </w:p>
        </w:tc>
        <w:tc>
          <w:tcPr>
            <w:tcW w:type="dxa" w:w="3005"/>
            <w:vAlign w:val="center"/>
            <w:tcMar>
              <w:top w:w="85" w:type="dxa"/>
              <w:bottom w:w="85" w:type="dxa"/>
              <w:left w:w="110" w:type="dxa"/>
              <w:right w:w="110" w:type="dxa"/>
            </w:tcMar>
            <w:shd w:fill="FFFFFF"/>
          </w:tcPr>
          <w:p>
            <w:pPr>
              <w:keepNext w:val="0"/>
              <w:spacing w:after="0" w:line="280" w:lineRule="exact"/>
            </w:pPr>
            <w:r>
              <w:rPr>
                <w:sz w:val="19"/>
              </w:rPr>
              <w:t>C# 编排；C++ 处理经过测量的计算热点或必要的原生库。</w:t>
            </w:r>
          </w:p>
        </w:tc>
        <w:tc>
          <w:tcPr>
            <w:tcW w:type="dxa" w:w="3798"/>
            <w:vAlign w:val="center"/>
            <w:tcMar>
              <w:top w:w="85" w:type="dxa"/>
              <w:bottom w:w="85" w:type="dxa"/>
              <w:left w:w="110" w:type="dxa"/>
              <w:right w:w="110" w:type="dxa"/>
            </w:tcMar>
            <w:shd w:fill="FFFFFF"/>
          </w:tcPr>
          <w:p>
            <w:pPr>
              <w:keepNext w:val="0"/>
              <w:spacing w:after="0" w:line="280" w:lineRule="exact"/>
            </w:pPr>
            <w:r>
              <w:rPr>
                <w:sz w:val="19"/>
              </w:rPr>
              <w:t>边界转换、资源释放、平台二进制和故障定位更复杂。</w:t>
            </w:r>
          </w:p>
        </w:tc>
        <w:tc>
          <w:tcPr>
            <w:tcW w:type="dxa" w:w="1304"/>
            <w:vAlign w:val="center"/>
            <w:tcMar>
              <w:top w:w="85" w:type="dxa"/>
              <w:bottom w:w="85" w:type="dxa"/>
              <w:left w:w="110" w:type="dxa"/>
              <w:right w:w="110" w:type="dxa"/>
            </w:tcMar>
            <w:shd w:fill="FFFFFF"/>
          </w:tcPr>
          <w:p>
            <w:pPr>
              <w:keepNext w:val="0"/>
              <w:spacing w:after="0" w:line="280" w:lineRule="exact"/>
            </w:pPr>
            <w:r>
              <w:rPr>
                <w:sz w:val="19"/>
              </w:rPr>
              <w:t>按热点局部采用。</w:t>
            </w:r>
          </w:p>
        </w:tc>
      </w:tr>
    </w:tbl>
    <w:p>
      <w:pPr>
        <w:spacing w:after="20" w:before="0" w:line="240" w:lineRule="auto"/>
      </w:pPr>
      <w:r>
        <w:rPr>
          <w:sz w:val="4"/>
        </w:rPr>
      </w:r>
    </w:p>
    <w:p>
      <w:pPr>
        <w:pStyle w:val="Heading2"/>
      </w:pPr>
      <w:r>
        <w:t>大模型接入是否必须使用 Python</w:t>
      </w:r>
    </w:p>
    <w:p>
      <w:r>
        <w:rPr>
          <w:b w:val="0"/>
        </w:rPr>
        <w:t>不必须。模型服务可以通过 HTTP API 访问，.NET 也提供 Microsoft.Extensions.AI 的聊天与工具抽象。若主要工作是请求模型、执行工具和管理会话，使用 C# 能减少运行环境与运维工作。[13]</w:t>
      </w:r>
    </w:p>
    <w:p>
      <w:r>
        <w:rPr>
          <w:b w:val="0"/>
        </w:rPr>
        <w:t>只有在选定的训练、推理或智能体组件明显依赖 Python，或需要复用已有 Python 研究代码时，才引入 Python 服务。让它通过版本化 HTTP/JSON 接口观察世界和提交动作；场景状态与最终权限校验仍由 OpenSim 持有。</w:t>
      </w:r>
    </w:p>
    <w:p>
      <w:pPr>
        <w:pStyle w:val="Heading2"/>
      </w:pPr>
      <w:r>
        <w:t>是否需要把高性能部分改成 C++</w:t>
      </w:r>
    </w:p>
    <w:p>
      <w:r>
        <w:rPr>
          <w:b w:val="0"/>
        </w:rPr>
        <w:t>先测量帧耗时、CPU 热点、分配与垃圾回收、锁等待和网络等待。只有热点适合独立计算、优化 C# 后仍不满足目标，并且计入跨语言调用成本后仍有收益，才考虑新增 C++ 实现。异步等待远程模型的问题应通过调度边界解决。</w:t>
      </w:r>
    </w:p>
    <w:p>
      <w:r>
        <w:rPr>
          <w:b w:val="0"/>
        </w:rPr>
        <w:t>现有物理模块已经有原生互操作入口，例如 ubOde 的 ODEApi.cs。新增原生实现可通过稳定的 C 接口及 P/Invoke 连接，明确数据布局、内存归属和句柄释放；通常不必重写 C# 宿主。[10]</w:t>
      </w:r>
    </w:p>
    <w:p>
      <w:r>
        <w:rPr>
          <w:b w:val="0"/>
          <w:sz w:val="19"/>
        </w:rPr>
        <w:t>推荐架构为“C# 世界与业务核心 + 可选的独立 Python 服务 + 按需保留或扩展原生计算库”。直接用 C++ 和 Python 取代 C# 主体，会失去当前渐进迁移的基础。LSL/OSSL 是世界内脚本接口，和宿主语言选择属于不同层次。</w:t>
      </w:r>
    </w:p>
    <w:p>
      <w:r>
        <w:br w:type="page"/>
      </w:r>
    </w:p>
    <w:p>
      <w:pPr>
        <w:pStyle w:val="Heading1"/>
      </w:pPr>
      <w:r>
        <w:t>现有代码与实际升级障碍</w:t>
      </w:r>
    </w:p>
    <w:p>
      <w:r>
        <w:rPr>
          <w:b w:val="0"/>
        </w:rPr>
        <w:t>当前安装是 OpenSim 0.9.3.0 Nessie Dev 的运行包，使用 .NET 8、Standalone、SQLite 和 YEngine。架构分析依据官方 0.9.3.0 分支固定提交 1f4a6dd；该提交尚未证明与安装包完全对应。[1]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231"/>
        <w:gridCol w:w="4082"/>
      </w:tblGrid>
      <w:tr>
        <w:trPr>
          <w:cantSplit/>
          <w:tblHeader/>
        </w:trPr>
        <w:tc>
          <w:tcPr>
            <w:tcW w:type="dxa" w:w="2324"/>
            <w:vAlign w:val="center"/>
            <w:tcMar>
              <w:top w:w="85" w:type="dxa"/>
              <w:bottom w:w="85" w:type="dxa"/>
              <w:left w:w="110" w:type="dxa"/>
              <w:right w:w="110" w:type="dxa"/>
            </w:tcMar>
            <w:shd w:fill="243746"/>
          </w:tcPr>
          <w:p>
            <w:pPr>
              <w:keepNext/>
              <w:spacing w:after="0" w:line="280" w:lineRule="exact"/>
              <w:jc w:val="center"/>
            </w:pPr>
            <w:r>
              <w:rPr>
                <w:b/>
                <w:color w:val="FFFFFF"/>
                <w:sz w:val="19"/>
              </w:rPr>
              <w:t>源码区域</w:t>
            </w:r>
          </w:p>
        </w:tc>
        <w:tc>
          <w:tcPr>
            <w:tcW w:type="dxa" w:w="3231"/>
            <w:vAlign w:val="center"/>
            <w:tcMar>
              <w:top w:w="85" w:type="dxa"/>
              <w:bottom w:w="85" w:type="dxa"/>
              <w:left w:w="110" w:type="dxa"/>
              <w:right w:w="110" w:type="dxa"/>
            </w:tcMar>
            <w:shd w:fill="243746"/>
          </w:tcPr>
          <w:p>
            <w:pPr>
              <w:keepNext/>
              <w:spacing w:after="0" w:line="280" w:lineRule="exact"/>
            </w:pPr>
            <w:r>
              <w:rPr>
                <w:b/>
                <w:color w:val="FFFFFF"/>
                <w:sz w:val="19"/>
              </w:rPr>
              <w:t>作用</w:t>
            </w:r>
          </w:p>
        </w:tc>
        <w:tc>
          <w:tcPr>
            <w:tcW w:type="dxa" w:w="4082"/>
            <w:vAlign w:val="center"/>
            <w:tcMar>
              <w:top w:w="85" w:type="dxa"/>
              <w:bottom w:w="85" w:type="dxa"/>
              <w:left w:w="110" w:type="dxa"/>
              <w:right w:w="110" w:type="dxa"/>
            </w:tcMar>
            <w:shd w:fill="243746"/>
          </w:tcPr>
          <w:p>
            <w:pPr>
              <w:keepNext/>
              <w:spacing w:after="0" w:line="280" w:lineRule="exact"/>
            </w:pPr>
            <w:r>
              <w:rPr>
                <w:b/>
                <w:color w:val="FFFFFF"/>
                <w:sz w:val="19"/>
              </w:rPr>
              <w:t>现代化时首先检查</w:t>
            </w:r>
          </w:p>
        </w:tc>
      </w:tr>
      <w:tr>
        <w:trPr>
          <w:cantSplit/>
        </w:trPr>
        <w:tc>
          <w:tcPr>
            <w:tcW w:type="dxa" w:w="2324"/>
            <w:vAlign w:val="center"/>
            <w:tcMar>
              <w:top w:w="85" w:type="dxa"/>
              <w:bottom w:w="85" w:type="dxa"/>
              <w:left w:w="110" w:type="dxa"/>
              <w:right w:w="110" w:type="dxa"/>
            </w:tcMar>
            <w:shd w:fill="FFFFFF"/>
          </w:tcPr>
          <w:p>
            <w:pPr>
              <w:keepNext w:val="0"/>
              <w:spacing w:after="0" w:line="280" w:lineRule="exact"/>
              <w:jc w:val="center"/>
            </w:pPr>
            <w:r>
              <w:rPr>
                <w:sz w:val="19"/>
              </w:rPr>
              <w:t>Framework 与启动模块</w:t>
            </w:r>
          </w:p>
        </w:tc>
        <w:tc>
          <w:tcPr>
            <w:tcW w:type="dxa" w:w="3231"/>
            <w:vAlign w:val="center"/>
            <w:tcMar>
              <w:top w:w="85" w:type="dxa"/>
              <w:bottom w:w="85" w:type="dxa"/>
              <w:left w:w="110" w:type="dxa"/>
              <w:right w:w="110" w:type="dxa"/>
            </w:tcMar>
            <w:shd w:fill="FFFFFF"/>
          </w:tcPr>
          <w:p>
            <w:pPr>
              <w:keepNext w:val="0"/>
              <w:spacing w:after="0" w:line="280" w:lineRule="exact"/>
            </w:pPr>
            <w:r>
              <w:rPr>
                <w:sz w:val="19"/>
              </w:rPr>
              <w:t>公共类型、服务装配、区域启动与模块管理。</w:t>
            </w:r>
          </w:p>
        </w:tc>
        <w:tc>
          <w:tcPr>
            <w:tcW w:type="dxa" w:w="4082"/>
            <w:vAlign w:val="center"/>
            <w:tcMar>
              <w:top w:w="85" w:type="dxa"/>
              <w:bottom w:w="85" w:type="dxa"/>
              <w:left w:w="110" w:type="dxa"/>
              <w:right w:w="110" w:type="dxa"/>
            </w:tcMar>
            <w:shd w:fill="FFFFFF"/>
          </w:tcPr>
          <w:p>
            <w:pPr>
              <w:keepNext w:val="0"/>
              <w:spacing w:after="0" w:line="280" w:lineRule="exact"/>
            </w:pPr>
            <w:r>
              <w:rPr>
                <w:sz w:val="19"/>
              </w:rPr>
              <w:t>依赖扩散、装配顺序、日志配置、模块生命周期。</w:t>
            </w:r>
          </w:p>
        </w:tc>
      </w:tr>
      <w:tr>
        <w:trPr>
          <w:cantSplit/>
        </w:trPr>
        <w:tc>
          <w:tcPr>
            <w:tcW w:type="dxa" w:w="2324"/>
            <w:vAlign w:val="center"/>
            <w:tcMar>
              <w:top w:w="85" w:type="dxa"/>
              <w:bottom w:w="85" w:type="dxa"/>
              <w:left w:w="110" w:type="dxa"/>
              <w:right w:w="110" w:type="dxa"/>
            </w:tcMar>
            <w:shd w:fill="F3F6F8"/>
          </w:tcPr>
          <w:p>
            <w:pPr>
              <w:keepNext w:val="0"/>
              <w:spacing w:after="0" w:line="280" w:lineRule="exact"/>
              <w:jc w:val="center"/>
            </w:pPr>
            <w:r>
              <w:rPr>
                <w:sz w:val="19"/>
              </w:rPr>
              <w:t>ClientStack 与 Server</w:t>
            </w:r>
          </w:p>
        </w:tc>
        <w:tc>
          <w:tcPr>
            <w:tcW w:type="dxa" w:w="3231"/>
            <w:vAlign w:val="center"/>
            <w:tcMar>
              <w:top w:w="85" w:type="dxa"/>
              <w:bottom w:w="85" w:type="dxa"/>
              <w:left w:w="110" w:type="dxa"/>
              <w:right w:w="110" w:type="dxa"/>
            </w:tcMar>
            <w:shd w:fill="F3F6F8"/>
          </w:tcPr>
          <w:p>
            <w:pPr>
              <w:keepNext w:val="0"/>
              <w:spacing w:after="0" w:line="280" w:lineRule="exact"/>
            </w:pPr>
            <w:r>
              <w:rPr>
                <w:sz w:val="19"/>
              </w:rPr>
              <w:t>Viewer 通信、能力接口和后端请求处理。</w:t>
            </w:r>
          </w:p>
        </w:tc>
        <w:tc>
          <w:tcPr>
            <w:tcW w:type="dxa" w:w="4082"/>
            <w:vAlign w:val="center"/>
            <w:tcMar>
              <w:top w:w="85" w:type="dxa"/>
              <w:bottom w:w="85" w:type="dxa"/>
              <w:left w:w="110" w:type="dxa"/>
              <w:right w:w="110" w:type="dxa"/>
            </w:tcMar>
            <w:shd w:fill="F3F6F8"/>
          </w:tcPr>
          <w:p>
            <w:pPr>
              <w:keepNext w:val="0"/>
              <w:spacing w:after="0" w:line="280" w:lineRule="exact"/>
            </w:pPr>
            <w:r>
              <w:rPr>
                <w:sz w:val="19"/>
              </w:rPr>
              <w:t>报文、错误码、超时及已有协议兼容。</w:t>
            </w:r>
          </w:p>
        </w:tc>
      </w:tr>
      <w:tr>
        <w:trPr>
          <w:cantSplit/>
        </w:trPr>
        <w:tc>
          <w:tcPr>
            <w:tcW w:type="dxa" w:w="2324"/>
            <w:vAlign w:val="center"/>
            <w:tcMar>
              <w:top w:w="85" w:type="dxa"/>
              <w:bottom w:w="85" w:type="dxa"/>
              <w:left w:w="110" w:type="dxa"/>
              <w:right w:w="110" w:type="dxa"/>
            </w:tcMar>
            <w:shd w:fill="FFFFFF"/>
          </w:tcPr>
          <w:p>
            <w:pPr>
              <w:keepNext w:val="0"/>
              <w:spacing w:after="0" w:line="280" w:lineRule="exact"/>
              <w:jc w:val="center"/>
            </w:pPr>
            <w:r>
              <w:rPr>
                <w:sz w:val="19"/>
              </w:rPr>
              <w:t>Region Framework</w:t>
            </w:r>
          </w:p>
        </w:tc>
        <w:tc>
          <w:tcPr>
            <w:tcW w:type="dxa" w:w="3231"/>
            <w:vAlign w:val="center"/>
            <w:tcMar>
              <w:top w:w="85" w:type="dxa"/>
              <w:bottom w:w="85" w:type="dxa"/>
              <w:left w:w="110" w:type="dxa"/>
              <w:right w:w="110" w:type="dxa"/>
            </w:tcMar>
            <w:shd w:fill="FFFFFF"/>
          </w:tcPr>
          <w:p>
            <w:pPr>
              <w:keepNext w:val="0"/>
              <w:spacing w:after="0" w:line="280" w:lineRule="exact"/>
            </w:pPr>
            <w:r>
              <w:rPr>
                <w:sz w:val="19"/>
              </w:rPr>
              <w:t>Scene、角色、物体和事件。</w:t>
            </w:r>
          </w:p>
        </w:tc>
        <w:tc>
          <w:tcPr>
            <w:tcW w:type="dxa" w:w="4082"/>
            <w:vAlign w:val="center"/>
            <w:tcMar>
              <w:top w:w="85" w:type="dxa"/>
              <w:bottom w:w="85" w:type="dxa"/>
              <w:left w:w="110" w:type="dxa"/>
              <w:right w:w="110" w:type="dxa"/>
            </w:tcMar>
            <w:shd w:fill="FFFFFF"/>
          </w:tcPr>
          <w:p>
            <w:pPr>
              <w:keepNext w:val="0"/>
              <w:spacing w:after="0" w:line="280" w:lineRule="exact"/>
            </w:pPr>
            <w:r>
              <w:rPr>
                <w:sz w:val="19"/>
              </w:rPr>
              <w:t>职责集中、线程归属、事件订阅与状态一致性。</w:t>
            </w:r>
          </w:p>
        </w:tc>
      </w:tr>
      <w:tr>
        <w:trPr>
          <w:cantSplit/>
        </w:trPr>
        <w:tc>
          <w:tcPr>
            <w:tcW w:type="dxa" w:w="2324"/>
            <w:vAlign w:val="center"/>
            <w:tcMar>
              <w:top w:w="85" w:type="dxa"/>
              <w:bottom w:w="85" w:type="dxa"/>
              <w:left w:w="110" w:type="dxa"/>
              <w:right w:w="110" w:type="dxa"/>
            </w:tcMar>
            <w:shd w:fill="F3F6F8"/>
          </w:tcPr>
          <w:p>
            <w:pPr>
              <w:keepNext w:val="0"/>
              <w:spacing w:after="0" w:line="280" w:lineRule="exact"/>
              <w:jc w:val="center"/>
            </w:pPr>
            <w:r>
              <w:rPr>
                <w:sz w:val="19"/>
              </w:rPr>
              <w:t>CoreModules 与 OptionalModules</w:t>
            </w:r>
          </w:p>
        </w:tc>
        <w:tc>
          <w:tcPr>
            <w:tcW w:type="dxa" w:w="3231"/>
            <w:vAlign w:val="center"/>
            <w:tcMar>
              <w:top w:w="85" w:type="dxa"/>
              <w:bottom w:w="85" w:type="dxa"/>
              <w:left w:w="110" w:type="dxa"/>
              <w:right w:w="110" w:type="dxa"/>
            </w:tcMar>
            <w:shd w:fill="F3F6F8"/>
          </w:tcPr>
          <w:p>
            <w:pPr>
              <w:keepNext w:val="0"/>
              <w:spacing w:after="0" w:line="280" w:lineRule="exact"/>
            </w:pPr>
            <w:r>
              <w:rPr>
                <w:sz w:val="19"/>
              </w:rPr>
              <w:t>聊天、土地、库存、NPC 等功能。</w:t>
            </w:r>
          </w:p>
        </w:tc>
        <w:tc>
          <w:tcPr>
            <w:tcW w:type="dxa" w:w="4082"/>
            <w:vAlign w:val="center"/>
            <w:tcMar>
              <w:top w:w="85" w:type="dxa"/>
              <w:bottom w:w="85" w:type="dxa"/>
              <w:left w:w="110" w:type="dxa"/>
              <w:right w:w="110" w:type="dxa"/>
            </w:tcMar>
            <w:shd w:fill="F3F6F8"/>
          </w:tcPr>
          <w:p>
            <w:pPr>
              <w:keepNext w:val="0"/>
              <w:spacing w:after="0" w:line="280" w:lineRule="exact"/>
            </w:pPr>
            <w:r>
              <w:rPr>
                <w:sz w:val="19"/>
              </w:rPr>
              <w:t>选取可替换用例，利用已有区域接口渐进迁移。</w:t>
            </w:r>
          </w:p>
        </w:tc>
      </w:tr>
      <w:tr>
        <w:trPr>
          <w:cantSplit/>
        </w:trPr>
        <w:tc>
          <w:tcPr>
            <w:tcW w:type="dxa" w:w="2324"/>
            <w:vAlign w:val="center"/>
            <w:tcMar>
              <w:top w:w="85" w:type="dxa"/>
              <w:bottom w:w="85" w:type="dxa"/>
              <w:left w:w="110" w:type="dxa"/>
              <w:right w:w="110" w:type="dxa"/>
            </w:tcMar>
            <w:shd w:fill="FFFFFF"/>
          </w:tcPr>
          <w:p>
            <w:pPr>
              <w:keepNext w:val="0"/>
              <w:spacing w:after="0" w:line="280" w:lineRule="exact"/>
              <w:jc w:val="center"/>
            </w:pPr>
            <w:r>
              <w:rPr>
                <w:sz w:val="19"/>
              </w:rPr>
              <w:t>Services 与 Data</w:t>
            </w:r>
          </w:p>
        </w:tc>
        <w:tc>
          <w:tcPr>
            <w:tcW w:type="dxa" w:w="3231"/>
            <w:vAlign w:val="center"/>
            <w:tcMar>
              <w:top w:w="85" w:type="dxa"/>
              <w:bottom w:w="85" w:type="dxa"/>
              <w:left w:w="110" w:type="dxa"/>
              <w:right w:w="110" w:type="dxa"/>
            </w:tcMar>
            <w:shd w:fill="FFFFFF"/>
          </w:tcPr>
          <w:p>
            <w:pPr>
              <w:keepNext w:val="0"/>
              <w:spacing w:after="0" w:line="280" w:lineRule="exact"/>
            </w:pPr>
            <w:r>
              <w:rPr>
                <w:sz w:val="19"/>
              </w:rPr>
              <w:t>账户、资产、库存服务及数据插件。</w:t>
            </w:r>
          </w:p>
        </w:tc>
        <w:tc>
          <w:tcPr>
            <w:tcW w:type="dxa" w:w="4082"/>
            <w:vAlign w:val="center"/>
            <w:tcMar>
              <w:top w:w="85" w:type="dxa"/>
              <w:bottom w:w="85" w:type="dxa"/>
              <w:left w:w="110" w:type="dxa"/>
              <w:right w:w="110" w:type="dxa"/>
            </w:tcMar>
            <w:shd w:fill="FFFFFF"/>
          </w:tcPr>
          <w:p>
            <w:pPr>
              <w:keepNext w:val="0"/>
              <w:spacing w:after="0" w:line="280" w:lineRule="exact"/>
            </w:pPr>
            <w:r>
              <w:rPr>
                <w:sz w:val="19"/>
              </w:rPr>
              <w:t>接口边界、连接和事务行为、旧数据恢复。</w:t>
            </w:r>
          </w:p>
        </w:tc>
      </w:tr>
      <w:tr>
        <w:trPr>
          <w:cantSplit/>
        </w:trPr>
        <w:tc>
          <w:tcPr>
            <w:tcW w:type="dxa" w:w="2324"/>
            <w:vAlign w:val="center"/>
            <w:tcMar>
              <w:top w:w="85" w:type="dxa"/>
              <w:bottom w:w="85" w:type="dxa"/>
              <w:left w:w="110" w:type="dxa"/>
              <w:right w:w="110" w:type="dxa"/>
            </w:tcMar>
            <w:shd w:fill="F3F6F8"/>
          </w:tcPr>
          <w:p>
            <w:pPr>
              <w:keepNext w:val="0"/>
              <w:spacing w:after="0" w:line="280" w:lineRule="exact"/>
              <w:jc w:val="center"/>
            </w:pPr>
            <w:r>
              <w:rPr>
                <w:sz w:val="19"/>
              </w:rPr>
              <w:t>ScriptEngine 与 PhysicsModules</w:t>
            </w:r>
          </w:p>
        </w:tc>
        <w:tc>
          <w:tcPr>
            <w:tcW w:type="dxa" w:w="3231"/>
            <w:vAlign w:val="center"/>
            <w:tcMar>
              <w:top w:w="85" w:type="dxa"/>
              <w:bottom w:w="85" w:type="dxa"/>
              <w:left w:w="110" w:type="dxa"/>
              <w:right w:w="110" w:type="dxa"/>
            </w:tcMar>
            <w:shd w:fill="F3F6F8"/>
          </w:tcPr>
          <w:p>
            <w:pPr>
              <w:keepNext w:val="0"/>
              <w:spacing w:after="0" w:line="280" w:lineRule="exact"/>
            </w:pPr>
            <w:r>
              <w:rPr>
                <w:sz w:val="19"/>
              </w:rPr>
              <w:t>脚本执行、状态保存和物理模拟。</w:t>
            </w:r>
          </w:p>
        </w:tc>
        <w:tc>
          <w:tcPr>
            <w:tcW w:type="dxa" w:w="4082"/>
            <w:vAlign w:val="center"/>
            <w:tcMar>
              <w:top w:w="85" w:type="dxa"/>
              <w:bottom w:w="85" w:type="dxa"/>
              <w:left w:w="110" w:type="dxa"/>
              <w:right w:w="110" w:type="dxa"/>
            </w:tcMar>
            <w:shd w:fill="F3F6F8"/>
          </w:tcPr>
          <w:p>
            <w:pPr>
              <w:keepNext w:val="0"/>
              <w:spacing w:after="0" w:line="280" w:lineRule="exact"/>
            </w:pPr>
            <w:r>
              <w:rPr>
                <w:sz w:val="19"/>
              </w:rPr>
              <w:t>序列化兼容、原生库、句柄及线程要求。</w:t>
            </w:r>
          </w:p>
        </w:tc>
      </w:tr>
    </w:tbl>
    <w:p>
      <w:pPr>
        <w:spacing w:after="20" w:before="0" w:line="240" w:lineRule="auto"/>
      </w:pPr>
      <w:r>
        <w:rPr>
          <w:sz w:val="4"/>
        </w:rPr>
      </w:r>
    </w:p>
    <w:p>
      <w:pPr>
        <w:pStyle w:val="Heading2"/>
      </w:pPr>
      <w:r>
        <w:t>已经确认的工程问题</w:t>
      </w:r>
    </w:p>
    <w:p>
      <w:pPr>
        <w:ind w:left="159" w:hanging="159"/>
      </w:pPr>
      <w:r>
        <w:rPr>
          <w:b/>
        </w:rPr>
        <w:t xml:space="preserve">• </w:t>
      </w:r>
      <w:r>
        <w:t>prebuild.xml 启用 65 个项目，另有 21 处项目声明位于注释中。当前源码统计有 1,461 个 C# 文件，其中 163 个在 Tests 路径；这些数字不代表测试覆盖率。</w:t>
      </w:r>
    </w:p>
    <w:p>
      <w:pPr>
        <w:ind w:left="159" w:hanging="159"/>
      </w:pPr>
      <w:r>
        <w:rPr>
          <w:b/>
        </w:rPr>
        <w:t xml:space="preserve">• </w:t>
      </w:r>
      <w:r>
        <w:t>构建通过 runprebuild.bat 和 bin/prebuild.dll 生成工程，大量引用指向 bin 中 DLL。稀疏源码副本缺少 bin、ThirdParty 等构建输入，需要先恢复完整基线。</w:t>
      </w:r>
    </w:p>
    <w:p>
      <w:pPr>
        <w:ind w:left="159" w:hanging="159"/>
      </w:pPr>
      <w:r>
        <w:rPr>
          <w:b/>
        </w:rPr>
        <w:t xml:space="preserve">• </w:t>
      </w:r>
      <w:r>
        <w:t>prebuild.xml 统一抑制了 CA1416、SYSLIB0011、SYSLIB0014、SYSLIB0039 等警告。应逐项核实受影响路径，分模块消除问题或记录暂缓理由。</w:t>
      </w:r>
    </w:p>
    <w:p>
      <w:pPr>
        <w:ind w:left="159" w:hanging="159"/>
      </w:pPr>
      <w:r>
        <w:rPr>
          <w:b/>
        </w:rPr>
        <w:t xml:space="preserve">• </w:t>
      </w:r>
      <w:r>
        <w:t>YEngine 的 XMRInstAbstract.cs 在 THROWNEX 和 SYSERIAL 分支中使用 BinaryFormatter；其中一部分是异常和其他对象的备用编码路径，需要专门构造测试。</w:t>
      </w:r>
    </w:p>
    <w:p>
      <w:pPr>
        <w:ind w:left="159" w:hanging="159"/>
      </w:pPr>
      <w:r>
        <w:rPr>
          <w:b/>
        </w:rPr>
        <w:t xml:space="preserve">• </w:t>
      </w:r>
      <w:r>
        <w:t>Windows 与 Linux 构建脚本分别复制不同的 System.Drawing.Common DLL。直接改成官方同名包可能改变跨平台行为，必须先核实这些二进制的来源。</w:t>
      </w:r>
    </w:p>
    <w:p>
      <w:pPr>
        <w:pStyle w:val="Heading2"/>
      </w:pPr>
      <w:r>
        <w:t>测试与自动化不能只看文件是否存在</w:t>
      </w:r>
    </w:p>
    <w:p>
      <w:r>
        <w:rPr>
          <w:b w:val="0"/>
        </w:rPr>
        <w:t>TESTING.txt 仍描述 nant、旧 NUnit 和旧版开发工具。现有 msbuildnet.yml 只对 master 的 C# 文件推送触发，限制在上游仓库运行，并混合构建与发布。应重建适合当前分支、配置和依赖变更的验证流程。</w:t>
      </w:r>
    </w:p>
    <w:p>
      <w:r>
        <w:rPr>
          <w:b w:val="0"/>
          <w:sz w:val="19"/>
        </w:rPr>
        <w:t>以上为静态阅读得到的迁移线索，尚未完成全库构建、性能测量或依赖漏洞审计。实施时把每条线索转成可复现的问题与验证记录。</w:t>
      </w:r>
    </w:p>
    <w:p>
      <w:r>
        <w:br w:type="page"/>
      </w:r>
    </w:p>
    <w:p>
      <w:pPr>
        <w:pStyle w:val="Heading1"/>
      </w:pPr>
      <w:r>
        <w:t>建立源码和运行环境基线</w:t>
      </w:r>
    </w:p>
    <w:p>
      <w:pPr>
        <w:pStyle w:val="Heading2"/>
      </w:pPr>
      <w:r>
        <w:t>一 确定唯一的开发起点</w:t>
      </w:r>
    </w:p>
    <w:p>
      <w:r>
        <w:rPr>
          <w:b w:val="0"/>
        </w:rPr>
        <w:t>记录安装包来源、源码提交、启动版本、启用模块和目标运行系统。先比较官方后续版本是否已经修复需要处理的问题，再决定整版本升级或选择性引入补丁；选定后固定到提交，不直接跟随持续变化的分支。</w:t>
      </w:r>
    </w:p>
    <w:p>
      <w:r>
        <w:rPr>
          <w:b w:val="0"/>
        </w:rPr>
        <w:t>如果无法找到运行包的精确提交，就把当前固定源码作为候选，用行为回归确认后正式采用。开发使用独立 Git 工作目录，保存 upstream 来源和自己的改动；按 codex/ 前缀建立任务分支，避免在运行目录中直接实验。</w:t>
      </w:r>
    </w:p>
    <w:p>
      <w:pPr>
        <w:pStyle w:val="Heading2"/>
      </w:pPr>
      <w:r>
        <w:t>二 补齐源码和构建输入</w:t>
      </w:r>
    </w:p>
    <w:p>
      <w:r>
        <w:rPr>
          <w:b w:val="0"/>
        </w:rPr>
        <w:t>当前副本采用稀疏检出，需要补齐构建描述涉及的目录，尤其是 bin、ThirdParty、许可证和资源文件。核对 bin 中预编译托管库与原生库的用途；目录名为 bin 不代表其中所有文件都可以重新生成或删除。</w:t>
      </w:r>
    </w:p>
    <w:p>
      <w:pPr>
        <w:pStyle w:val="Heading2"/>
      </w:pPr>
      <w:r>
        <w:t>三 先复现原有构建链</w:t>
      </w:r>
    </w:p>
    <w:p>
      <w:r>
        <w:rPr>
          <w:b w:val="0"/>
        </w:rPr>
        <w:t>先按该固定提交的 BUILDING.md 使用 .NET 8 SDK 和原构建方式。以下是源码根目录中的起始命令；生成脚本会修改开发目录，运行前应已有完整备份和可用依赖。</w:t>
      </w:r>
    </w:p>
    <w:p>
      <w:pPr>
        <w:spacing w:line="260" w:lineRule="exact" w:after="140"/>
      </w:pPr>
      <w:r>
        <w:rPr>
          <w:rFonts w:ascii="Consolas" w:hAnsi="Consolas"/>
          <w:sz w:val="18"/>
        </w:rPr>
        <w:t>dotnet --info</w:t>
      </w:r>
      <w:r>
        <w:rPr>
          <w:rFonts w:ascii="Consolas" w:hAnsi="Consolas"/>
          <w:sz w:val="18"/>
        </w:rPr>
        <w:br/>
        <w:t>.\runprebuild.bat</w:t>
      </w:r>
      <w:r>
        <w:rPr>
          <w:rFonts w:ascii="Consolas" w:hAnsi="Consolas"/>
          <w:sz w:val="18"/>
        </w:rPr>
        <w:br/>
        <w:t>dotnet build OpenSim.sln --configuration Release</w:t>
      </w:r>
    </w:p>
    <w:p>
      <w:r>
        <w:rPr>
          <w:b w:val="0"/>
          <w:sz w:val="19"/>
        </w:rPr>
        <w:t>记录生成与编译日志、首个错误、实际产物和所用 SDK。基线阶段暂时保留原目标框架和依赖；后续把工程格式、库版本和运行时迁移拆成独立变更。</w:t>
      </w:r>
    </w:p>
    <w:p>
      <w:pPr>
        <w:pStyle w:val="Heading2"/>
      </w:pPr>
      <w:r>
        <w:t>四 建立独立的测试世界</w:t>
      </w:r>
    </w:p>
    <w:p>
      <w:r>
        <w:rPr>
          <w:b w:val="0"/>
        </w:rPr>
        <w:t>使用单独的配置、端口、区域和数据库，确认进程只写测试数据。准备登录账号、NPC、场景物体和代表性脚本；记录物体数量、库存与资产引用、脚本行为和重启后的恢复情况。</w:t>
      </w:r>
    </w:p>
    <w:p>
      <w:pPr>
        <w:pStyle w:val="Heading2"/>
      </w:pPr>
      <w:r>
        <w:t>五 验证备份与重建</w:t>
      </w:r>
    </w:p>
    <w:p>
      <w:r>
        <w:rPr>
          <w:b w:val="0"/>
        </w:rPr>
        <w:t>SQLite 采用停服后一致性复制或数据库支持的备份方式，避免只复制正在写入的数据库主文件。备份还要覆盖资产、库存相关存储、配置和脚本状态。OAR 是场景归档的一部分，不能替代完整数据备份。</w:t>
      </w:r>
    </w:p>
    <w:p>
      <w:r>
        <w:rPr>
          <w:b/>
        </w:rPr>
        <w:t>基线完成条件：在干净的开发目录按说明重新构建、启动测试世界、运行选定用例，并从备份实际恢复一次。保存源码提交、构建日志、依赖清单、配置模板和测试结果，作为后续版本的对照。</w:t>
      </w:r>
    </w:p>
    <w:p>
      <w:r>
        <w:br w:type="page"/>
      </w:r>
    </w:p>
    <w:p>
      <w:pPr>
        <w:pStyle w:val="Heading1"/>
      </w:pPr>
      <w:r>
        <w:t>项目文件与构建方式现代化</w:t>
      </w:r>
    </w:p>
    <w:p>
      <w:r>
        <w:rPr>
          <w:b w:val="0"/>
        </w:rPr>
        <w:t>目标是使项目文件和依赖关系成为清晰、可维护的构建依据。先查看 Prebuild 实际生成的 csproj；部分内容可能已具有 SDK 风格，不能把“使用生成器”等同于“所有工程格式都过时”。[4]</w:t>
      </w:r>
    </w:p>
    <w:p>
      <w:pPr>
        <w:pStyle w:val="Heading2"/>
      </w:pPr>
      <w:r>
        <w:t>逐项目迁移的方法</w:t>
      </w:r>
    </w:p>
    <w:p>
      <w:pPr>
        <w:ind w:left="159" w:hanging="159"/>
      </w:pPr>
      <w:r>
        <w:rPr>
          <w:b/>
        </w:rPr>
        <w:t xml:space="preserve">• </w:t>
      </w:r>
      <w:r>
        <w:t>选一个边界较小的叶子项目，记录编译文件、引用、资源、程序集名、编译常量、unsafe 设置和产物路径。先在原框架与原依赖版本上验证工程转换。</w:t>
      </w:r>
    </w:p>
    <w:p>
      <w:pPr>
        <w:ind w:left="159" w:hanging="159"/>
      </w:pPr>
      <w:r>
        <w:rPr>
          <w:b/>
        </w:rPr>
        <w:t xml:space="preserve">• </w:t>
      </w:r>
      <w:r>
        <w:t>把仓库内的项目依赖整理为 ProjectReference；已确认来源的第三方包使用 PackageReference。无法替换的厂商或自维护 DLL 保留显式路径与校验值。</w:t>
      </w:r>
    </w:p>
    <w:p>
      <w:pPr>
        <w:ind w:left="159" w:hanging="159"/>
      </w:pPr>
      <w:r>
        <w:rPr>
          <w:b/>
        </w:rPr>
        <w:t xml:space="preserve">• </w:t>
      </w:r>
      <w:r>
        <w:t>确认迁移后的工程由谁维护：直接维护 csproj，或仍由生成器生成。单个项目只能有一个权威来源；否则下次生成会覆盖手工修改。</w:t>
      </w:r>
    </w:p>
    <w:p>
      <w:pPr>
        <w:ind w:left="159" w:hanging="159"/>
      </w:pPr>
      <w:r>
        <w:rPr>
          <w:b/>
        </w:rPr>
        <w:t xml:space="preserve">• </w:t>
      </w:r>
      <w:r>
        <w:t>验证首个项目后按依赖顺序迁移。暂时混用已迁移项目与旧构建是过渡状态，最终明确退休的生成步骤和剩余例外。</w:t>
      </w:r>
    </w:p>
    <w:p>
      <w:pPr>
        <w:pStyle w:val="Heading2"/>
      </w:pPr>
      <w:r>
        <w:t>本仓库需要特别处理的细节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742"/>
        <w:gridCol w:w="4025"/>
      </w:tblGrid>
      <w:tr>
        <w:trPr>
          <w:cantSplit/>
          <w:tblHeader/>
        </w:trPr>
        <w:tc>
          <w:tcPr>
            <w:tcW w:type="dxa" w:w="1871"/>
            <w:vAlign w:val="center"/>
            <w:tcMar>
              <w:top w:w="85" w:type="dxa"/>
              <w:bottom w:w="85" w:type="dxa"/>
              <w:left w:w="110" w:type="dxa"/>
              <w:right w:w="110" w:type="dxa"/>
            </w:tcMar>
            <w:shd w:fill="243746"/>
          </w:tcPr>
          <w:p>
            <w:pPr>
              <w:keepNext/>
              <w:spacing w:after="0" w:line="280" w:lineRule="exact"/>
              <w:jc w:val="center"/>
            </w:pPr>
            <w:r>
              <w:rPr>
                <w:b/>
                <w:color w:val="FFFFFF"/>
                <w:sz w:val="19"/>
              </w:rPr>
              <w:t>细节</w:t>
            </w:r>
          </w:p>
        </w:tc>
        <w:tc>
          <w:tcPr>
            <w:tcW w:type="dxa" w:w="3742"/>
            <w:vAlign w:val="center"/>
            <w:tcMar>
              <w:top w:w="85" w:type="dxa"/>
              <w:bottom w:w="85" w:type="dxa"/>
              <w:left w:w="110" w:type="dxa"/>
              <w:right w:w="110" w:type="dxa"/>
            </w:tcMar>
            <w:shd w:fill="243746"/>
          </w:tcPr>
          <w:p>
            <w:pPr>
              <w:keepNext/>
              <w:spacing w:after="0" w:line="280" w:lineRule="exact"/>
            </w:pPr>
            <w:r>
              <w:rPr>
                <w:b/>
                <w:color w:val="FFFFFF"/>
                <w:sz w:val="19"/>
              </w:rPr>
              <w:t>可能发生的问题</w:t>
            </w:r>
          </w:p>
        </w:tc>
        <w:tc>
          <w:tcPr>
            <w:tcW w:type="dxa" w:w="4025"/>
            <w:vAlign w:val="center"/>
            <w:tcMar>
              <w:top w:w="85" w:type="dxa"/>
              <w:bottom w:w="85" w:type="dxa"/>
              <w:left w:w="110" w:type="dxa"/>
              <w:right w:w="110" w:type="dxa"/>
            </w:tcMar>
            <w:shd w:fill="243746"/>
          </w:tcPr>
          <w:p>
            <w:pPr>
              <w:keepNext/>
              <w:spacing w:after="0" w:line="280" w:lineRule="exact"/>
            </w:pPr>
            <w:r>
              <w:rPr>
                <w:b/>
                <w:color w:val="FFFFFF"/>
                <w:sz w:val="19"/>
              </w:rPr>
              <w:t>处理方式</w:t>
            </w:r>
          </w:p>
        </w:tc>
      </w:tr>
      <w:tr>
        <w:trPr>
          <w:cantSplit/>
        </w:trPr>
        <w:tc>
          <w:tcPr>
            <w:tcW w:type="dxa" w:w="1871"/>
            <w:vAlign w:val="center"/>
            <w:tcMar>
              <w:top w:w="85" w:type="dxa"/>
              <w:bottom w:w="85" w:type="dxa"/>
              <w:left w:w="110" w:type="dxa"/>
              <w:right w:w="110" w:type="dxa"/>
            </w:tcMar>
            <w:shd w:fill="FFFFFF"/>
          </w:tcPr>
          <w:p>
            <w:pPr>
              <w:keepNext w:val="0"/>
              <w:spacing w:after="0" w:line="280" w:lineRule="exact"/>
              <w:jc w:val="center"/>
            </w:pPr>
            <w:r>
              <w:rPr>
                <w:sz w:val="19"/>
              </w:rPr>
              <w:t>默认递归收集源文件</w:t>
            </w:r>
          </w:p>
        </w:tc>
        <w:tc>
          <w:tcPr>
            <w:tcW w:type="dxa" w:w="3742"/>
            <w:vAlign w:val="center"/>
            <w:tcMar>
              <w:top w:w="85" w:type="dxa"/>
              <w:bottom w:w="85" w:type="dxa"/>
              <w:left w:w="110" w:type="dxa"/>
              <w:right w:w="110" w:type="dxa"/>
            </w:tcMar>
            <w:shd w:fill="FFFFFF"/>
          </w:tcPr>
          <w:p>
            <w:pPr>
              <w:keepNext w:val="0"/>
              <w:spacing w:after="0" w:line="280" w:lineRule="exact"/>
            </w:pPr>
            <w:r>
              <w:rPr>
                <w:sz w:val="19"/>
              </w:rPr>
              <w:t>SDK 默认包含下级 C# 文件，可能把子项目或 Tests 编进父项目。</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对照原 Files/Match/Exclude，显式排除子项目，检查编译项是否重复。</w:t>
            </w:r>
          </w:p>
        </w:tc>
      </w:tr>
      <w:tr>
        <w:trPr>
          <w:cantSplit/>
        </w:trPr>
        <w:tc>
          <w:tcPr>
            <w:tcW w:type="dxa" w:w="1871"/>
            <w:vAlign w:val="center"/>
            <w:tcMar>
              <w:top w:w="85" w:type="dxa"/>
              <w:bottom w:w="85" w:type="dxa"/>
              <w:left w:w="110" w:type="dxa"/>
              <w:right w:w="110" w:type="dxa"/>
            </w:tcMar>
            <w:shd w:fill="F3F6F8"/>
          </w:tcPr>
          <w:p>
            <w:pPr>
              <w:keepNext w:val="0"/>
              <w:spacing w:after="0" w:line="280" w:lineRule="exact"/>
              <w:jc w:val="center"/>
            </w:pPr>
            <w:r>
              <w:rPr>
                <w:sz w:val="19"/>
              </w:rPr>
              <w:t>程序集与资源</w:t>
            </w:r>
          </w:p>
        </w:tc>
        <w:tc>
          <w:tcPr>
            <w:tcW w:type="dxa" w:w="3742"/>
            <w:vAlign w:val="center"/>
            <w:tcMar>
              <w:top w:w="85" w:type="dxa"/>
              <w:bottom w:w="85" w:type="dxa"/>
              <w:left w:w="110" w:type="dxa"/>
              <w:right w:w="110" w:type="dxa"/>
            </w:tcMar>
            <w:shd w:fill="F3F6F8"/>
          </w:tcPr>
          <w:p>
            <w:pPr>
              <w:keepNext w:val="0"/>
              <w:spacing w:after="0" w:line="280" w:lineRule="exact"/>
            </w:pPr>
            <w:r>
              <w:rPr>
                <w:sz w:val="19"/>
              </w:rPr>
              <w:t>自动 AssemblyInfo 或资源命名变化，影响插件发现和版本读取。</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核对现有属性、嵌入资源和程序集身份，比较装配结果。</w:t>
            </w:r>
          </w:p>
        </w:tc>
      </w:tr>
      <w:tr>
        <w:trPr>
          <w:cantSplit/>
        </w:trPr>
        <w:tc>
          <w:tcPr>
            <w:tcW w:type="dxa" w:w="1871"/>
            <w:vAlign w:val="center"/>
            <w:tcMar>
              <w:top w:w="85" w:type="dxa"/>
              <w:bottom w:w="85" w:type="dxa"/>
              <w:left w:w="110" w:type="dxa"/>
              <w:right w:w="110" w:type="dxa"/>
            </w:tcMar>
            <w:shd w:fill="FFFFFF"/>
          </w:tcPr>
          <w:p>
            <w:pPr>
              <w:keepNext w:val="0"/>
              <w:spacing w:after="0" w:line="280" w:lineRule="exact"/>
              <w:jc w:val="center"/>
            </w:pPr>
            <w:r>
              <w:rPr>
                <w:sz w:val="19"/>
              </w:rPr>
              <w:t>共享 bin 输出目录</w:t>
            </w:r>
          </w:p>
        </w:tc>
        <w:tc>
          <w:tcPr>
            <w:tcW w:type="dxa" w:w="3742"/>
            <w:vAlign w:val="center"/>
            <w:tcMar>
              <w:top w:w="85" w:type="dxa"/>
              <w:bottom w:w="85" w:type="dxa"/>
              <w:left w:w="110" w:type="dxa"/>
              <w:right w:w="110" w:type="dxa"/>
            </w:tcMar>
            <w:shd w:fill="FFFFFF"/>
          </w:tcPr>
          <w:p>
            <w:pPr>
              <w:keepNext w:val="0"/>
              <w:spacing w:after="0" w:line="280" w:lineRule="exact"/>
            </w:pPr>
            <w:r>
              <w:rPr>
                <w:sz w:val="19"/>
              </w:rPr>
              <w:t>旧 DLL 残留或同名库覆盖，导致“编译成功但运行旧代码”。</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先保证兼容，再迁移到各项目独立输出；用发布装配步骤生成运行目录。</w:t>
            </w:r>
          </w:p>
        </w:tc>
      </w:tr>
      <w:tr>
        <w:trPr>
          <w:cantSplit/>
        </w:trPr>
        <w:tc>
          <w:tcPr>
            <w:tcW w:type="dxa" w:w="1871"/>
            <w:vAlign w:val="center"/>
            <w:tcMar>
              <w:top w:w="85" w:type="dxa"/>
              <w:bottom w:w="85" w:type="dxa"/>
              <w:left w:w="110" w:type="dxa"/>
              <w:right w:w="110" w:type="dxa"/>
            </w:tcMar>
            <w:shd w:fill="F3F6F8"/>
          </w:tcPr>
          <w:p>
            <w:pPr>
              <w:keepNext w:val="0"/>
              <w:spacing w:after="0" w:line="280" w:lineRule="exact"/>
              <w:jc w:val="center"/>
            </w:pPr>
            <w:r>
              <w:rPr>
                <w:sz w:val="19"/>
              </w:rPr>
              <w:t>平台相关文件</w:t>
            </w:r>
          </w:p>
        </w:tc>
        <w:tc>
          <w:tcPr>
            <w:tcW w:type="dxa" w:w="3742"/>
            <w:vAlign w:val="center"/>
            <w:tcMar>
              <w:top w:w="85" w:type="dxa"/>
              <w:bottom w:w="85" w:type="dxa"/>
              <w:left w:w="110" w:type="dxa"/>
              <w:right w:w="110" w:type="dxa"/>
            </w:tcMar>
            <w:shd w:fill="F3F6F8"/>
          </w:tcPr>
          <w:p>
            <w:pPr>
              <w:keepNext w:val="0"/>
              <w:spacing w:after="0" w:line="280" w:lineRule="exact"/>
            </w:pPr>
            <w:r>
              <w:rPr>
                <w:sz w:val="19"/>
              </w:rPr>
              <w:t>物理、图像、配置模板或模块清单没有复制到发布目录。</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明确内容文件与原生文件的复制规则，检查发布包的完整文件清单。</w:t>
            </w:r>
          </w:p>
        </w:tc>
      </w:tr>
    </w:tbl>
    <w:p>
      <w:pPr>
        <w:spacing w:after="20" w:before="0" w:line="240" w:lineRule="auto"/>
      </w:pPr>
      <w:r>
        <w:rPr>
          <w:sz w:val="4"/>
        </w:rPr>
      </w:r>
    </w:p>
    <w:p>
      <w:pPr>
        <w:pStyle w:val="Heading2"/>
      </w:pPr>
      <w:r>
        <w:t>统一但渐进地管理配置</w:t>
      </w:r>
    </w:p>
    <w:p>
      <w:r>
        <w:rPr>
          <w:b w:val="0"/>
        </w:rPr>
        <w:t>使用 global.json 固定经验证的 SDK；Directory.Build.props 管理公共构建规则；Directory.Packages.props 集中管理已迁入 NuGet 的包版本。新模块先开启 nullable 和选定分析规则，旧模块按改造进度开启，避免一次引入难以处理的全库告警。[6]</w:t>
      </w:r>
    </w:p>
    <w:p>
      <w:r>
        <w:rPr>
          <w:b w:val="0"/>
        </w:rPr>
        <w:t>优先让新增和修改代码满足规则，已有告警建立基线。对状态、平台和过时 API 等重要警告逐条消除；不要通过继续扩大全局抑制列表来“通过”升级。</w:t>
      </w:r>
    </w:p>
    <w:p>
      <w:r>
        <w:rPr>
          <w:b/>
        </w:rPr>
        <w:t>完成条件：生成或维护方式唯一，编译项和程序集身份一致，依赖顺序明确；全新输出目录可以启动，原开发目录中的残留产物不再是成功运行的前提。</w:t>
      </w:r>
    </w:p>
    <w:p>
      <w:r>
        <w:br w:type="page"/>
      </w:r>
    </w:p>
    <w:p>
      <w:pPr>
        <w:pStyle w:val="Heading1"/>
      </w:pPr>
      <w:r>
        <w:t>依赖盘点和逐项升级流程</w:t>
      </w:r>
    </w:p>
    <w:p>
      <w:r>
        <w:rPr>
          <w:b w:val="0"/>
        </w:rPr>
        <w:t>先建立完整依赖清单，再决定升级方式。当前很多依赖是直接引用 DLL，NuGet 命令只能覆盖进入包依赖图的部分，不能据此判断整个平台已经完成依赖审计。[7]</w:t>
      </w:r>
    </w:p>
    <w:p>
      <w:pPr>
        <w:pStyle w:val="Heading2"/>
      </w:pPr>
      <w:r>
        <w:t>每项依赖记录哪些信息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880"/>
      </w:tblGrid>
      <w:tr>
        <w:trPr>
          <w:cantSplit/>
          <w:tblHeader/>
        </w:trPr>
        <w:tc>
          <w:tcPr>
            <w:tcW w:type="dxa" w:w="1757"/>
            <w:vAlign w:val="center"/>
            <w:tcMar>
              <w:top w:w="85" w:type="dxa"/>
              <w:bottom w:w="85" w:type="dxa"/>
              <w:left w:w="110" w:type="dxa"/>
              <w:right w:w="110" w:type="dxa"/>
            </w:tcMar>
            <w:shd w:fill="243746"/>
          </w:tcPr>
          <w:p>
            <w:pPr>
              <w:keepNext/>
              <w:spacing w:after="0" w:line="280" w:lineRule="exact"/>
              <w:jc w:val="center"/>
            </w:pPr>
            <w:r>
              <w:rPr>
                <w:b/>
                <w:color w:val="FFFFFF"/>
                <w:sz w:val="19"/>
              </w:rPr>
              <w:t>信息组</w:t>
            </w:r>
          </w:p>
        </w:tc>
        <w:tc>
          <w:tcPr>
            <w:tcW w:type="dxa" w:w="7880"/>
            <w:vAlign w:val="center"/>
            <w:tcMar>
              <w:top w:w="85" w:type="dxa"/>
              <w:bottom w:w="85" w:type="dxa"/>
              <w:left w:w="110" w:type="dxa"/>
              <w:right w:w="110" w:type="dxa"/>
            </w:tcMar>
            <w:shd w:fill="243746"/>
          </w:tcPr>
          <w:p>
            <w:pPr>
              <w:keepNext/>
              <w:spacing w:after="0" w:line="280" w:lineRule="exact"/>
            </w:pPr>
            <w:r>
              <w:rPr>
                <w:b/>
                <w:color w:val="FFFFFF"/>
                <w:sz w:val="19"/>
              </w:rPr>
              <w:t>必须记录的内容</w:t>
            </w:r>
          </w:p>
        </w:tc>
      </w:tr>
      <w:tr>
        <w:trPr>
          <w:cantSplit/>
        </w:trPr>
        <w:tc>
          <w:tcPr>
            <w:tcW w:type="dxa" w:w="1757"/>
            <w:vAlign w:val="center"/>
            <w:tcMar>
              <w:top w:w="85" w:type="dxa"/>
              <w:bottom w:w="85" w:type="dxa"/>
              <w:left w:w="110" w:type="dxa"/>
              <w:right w:w="110" w:type="dxa"/>
            </w:tcMar>
            <w:shd w:fill="FFFFFF"/>
          </w:tcPr>
          <w:p>
            <w:pPr>
              <w:keepNext w:val="0"/>
              <w:spacing w:after="0" w:line="280" w:lineRule="exact"/>
              <w:jc w:val="center"/>
            </w:pPr>
            <w:r>
              <w:rPr>
                <w:sz w:val="19"/>
              </w:rPr>
              <w:t>身份与来源</w:t>
            </w:r>
          </w:p>
        </w:tc>
        <w:tc>
          <w:tcPr>
            <w:tcW w:type="dxa" w:w="7880"/>
            <w:vAlign w:val="center"/>
            <w:tcMar>
              <w:top w:w="85" w:type="dxa"/>
              <w:bottom w:w="85" w:type="dxa"/>
              <w:left w:w="110" w:type="dxa"/>
              <w:right w:w="110" w:type="dxa"/>
            </w:tcMar>
            <w:shd w:fill="FFFFFF"/>
          </w:tcPr>
          <w:p>
            <w:pPr>
              <w:keepNext w:val="0"/>
              <w:spacing w:after="0" w:line="280" w:lineRule="exact"/>
            </w:pPr>
            <w:r>
              <w:rPr>
                <w:sz w:val="19"/>
              </w:rPr>
              <w:t>组件名称、NuGet 包名或源码仓库、程序集版本、文件版本、SHA256、自维护补丁。</w:t>
            </w:r>
          </w:p>
        </w:tc>
      </w:tr>
      <w:tr>
        <w:trPr>
          <w:cantSplit/>
        </w:trPr>
        <w:tc>
          <w:tcPr>
            <w:tcW w:type="dxa" w:w="1757"/>
            <w:vAlign w:val="center"/>
            <w:tcMar>
              <w:top w:w="85" w:type="dxa"/>
              <w:bottom w:w="85" w:type="dxa"/>
              <w:left w:w="110" w:type="dxa"/>
              <w:right w:w="110" w:type="dxa"/>
            </w:tcMar>
            <w:shd w:fill="F3F6F8"/>
          </w:tcPr>
          <w:p>
            <w:pPr>
              <w:keepNext w:val="0"/>
              <w:spacing w:after="0" w:line="280" w:lineRule="exact"/>
              <w:jc w:val="center"/>
            </w:pPr>
            <w:r>
              <w:rPr>
                <w:sz w:val="19"/>
              </w:rPr>
              <w:t>使用位置</w:t>
            </w:r>
          </w:p>
        </w:tc>
        <w:tc>
          <w:tcPr>
            <w:tcW w:type="dxa" w:w="7880"/>
            <w:vAlign w:val="center"/>
            <w:tcMar>
              <w:top w:w="85" w:type="dxa"/>
              <w:bottom w:w="85" w:type="dxa"/>
              <w:left w:w="110" w:type="dxa"/>
              <w:right w:w="110" w:type="dxa"/>
            </w:tcMar>
            <w:shd w:fill="F3F6F8"/>
          </w:tcPr>
          <w:p>
            <w:pPr>
              <w:keepNext w:val="0"/>
              <w:spacing w:after="0" w:line="280" w:lineRule="exact"/>
            </w:pPr>
            <w:r>
              <w:rPr>
                <w:sz w:val="19"/>
              </w:rPr>
              <w:t>直接引用项目、传递依赖、实际调用路径、启动时和运行时加载方式。</w:t>
            </w:r>
          </w:p>
        </w:tc>
      </w:tr>
      <w:tr>
        <w:trPr>
          <w:cantSplit/>
        </w:trPr>
        <w:tc>
          <w:tcPr>
            <w:tcW w:type="dxa" w:w="1757"/>
            <w:vAlign w:val="center"/>
            <w:tcMar>
              <w:top w:w="85" w:type="dxa"/>
              <w:bottom w:w="85" w:type="dxa"/>
              <w:left w:w="110" w:type="dxa"/>
              <w:right w:w="110" w:type="dxa"/>
            </w:tcMar>
            <w:shd w:fill="FFFFFF"/>
          </w:tcPr>
          <w:p>
            <w:pPr>
              <w:keepNext w:val="0"/>
              <w:spacing w:after="0" w:line="280" w:lineRule="exact"/>
              <w:jc w:val="center"/>
            </w:pPr>
            <w:r>
              <w:rPr>
                <w:sz w:val="19"/>
              </w:rPr>
              <w:t>平台与许可</w:t>
            </w:r>
          </w:p>
        </w:tc>
        <w:tc>
          <w:tcPr>
            <w:tcW w:type="dxa" w:w="7880"/>
            <w:vAlign w:val="center"/>
            <w:tcMar>
              <w:top w:w="85" w:type="dxa"/>
              <w:bottom w:w="85" w:type="dxa"/>
              <w:left w:w="110" w:type="dxa"/>
              <w:right w:w="110" w:type="dxa"/>
            </w:tcMar>
            <w:shd w:fill="FFFFFF"/>
          </w:tcPr>
          <w:p>
            <w:pPr>
              <w:keepNext w:val="0"/>
              <w:spacing w:after="0" w:line="280" w:lineRule="exact"/>
            </w:pPr>
            <w:r>
              <w:rPr>
                <w:sz w:val="19"/>
              </w:rPr>
              <w:t>托管或原生、系统与 CPU 架构、发布目录、许可证及再分发要求。</w:t>
            </w:r>
          </w:p>
        </w:tc>
      </w:tr>
      <w:tr>
        <w:trPr>
          <w:cantSplit/>
        </w:trPr>
        <w:tc>
          <w:tcPr>
            <w:tcW w:type="dxa" w:w="1757"/>
            <w:vAlign w:val="center"/>
            <w:tcMar>
              <w:top w:w="85" w:type="dxa"/>
              <w:bottom w:w="85" w:type="dxa"/>
              <w:left w:w="110" w:type="dxa"/>
              <w:right w:w="110" w:type="dxa"/>
            </w:tcMar>
            <w:shd w:fill="F3F6F8"/>
          </w:tcPr>
          <w:p>
            <w:pPr>
              <w:keepNext w:val="0"/>
              <w:spacing w:after="0" w:line="280" w:lineRule="exact"/>
              <w:jc w:val="center"/>
            </w:pPr>
            <w:r>
              <w:rPr>
                <w:sz w:val="19"/>
              </w:rPr>
              <w:t>迁移决策</w:t>
            </w:r>
          </w:p>
        </w:tc>
        <w:tc>
          <w:tcPr>
            <w:tcW w:type="dxa" w:w="7880"/>
            <w:vAlign w:val="center"/>
            <w:tcMar>
              <w:top w:w="85" w:type="dxa"/>
              <w:bottom w:w="85" w:type="dxa"/>
              <w:left w:w="110" w:type="dxa"/>
              <w:right w:w="110" w:type="dxa"/>
            </w:tcMar>
            <w:shd w:fill="F3F6F8"/>
          </w:tcPr>
          <w:p>
            <w:pPr>
              <w:keepNext w:val="0"/>
              <w:spacing w:after="0" w:line="280" w:lineRule="exact"/>
            </w:pPr>
            <w:r>
              <w:rPr>
                <w:sz w:val="19"/>
              </w:rPr>
              <w:t>当前问题、候选版本或替代库、API 与数据兼容影响、预计修改范围。</w:t>
            </w:r>
          </w:p>
        </w:tc>
      </w:tr>
      <w:tr>
        <w:trPr>
          <w:cantSplit/>
        </w:trPr>
        <w:tc>
          <w:tcPr>
            <w:tcW w:type="dxa" w:w="1757"/>
            <w:vAlign w:val="center"/>
            <w:tcMar>
              <w:top w:w="85" w:type="dxa"/>
              <w:bottom w:w="85" w:type="dxa"/>
              <w:left w:w="110" w:type="dxa"/>
              <w:right w:w="110" w:type="dxa"/>
            </w:tcMar>
            <w:shd w:fill="FFFFFF"/>
          </w:tcPr>
          <w:p>
            <w:pPr>
              <w:keepNext w:val="0"/>
              <w:spacing w:after="0" w:line="280" w:lineRule="exact"/>
              <w:jc w:val="center"/>
            </w:pPr>
            <w:r>
              <w:rPr>
                <w:sz w:val="19"/>
              </w:rPr>
              <w:t>验证与状态</w:t>
            </w:r>
          </w:p>
        </w:tc>
        <w:tc>
          <w:tcPr>
            <w:tcW w:type="dxa" w:w="7880"/>
            <w:vAlign w:val="center"/>
            <w:tcMar>
              <w:top w:w="85" w:type="dxa"/>
              <w:bottom w:w="85" w:type="dxa"/>
              <w:left w:w="110" w:type="dxa"/>
              <w:right w:w="110" w:type="dxa"/>
            </w:tcMar>
            <w:shd w:fill="FFFFFF"/>
          </w:tcPr>
          <w:p>
            <w:pPr>
              <w:keepNext w:val="0"/>
              <w:spacing w:after="0" w:line="280" w:lineRule="exact"/>
            </w:pPr>
            <w:r>
              <w:rPr>
                <w:sz w:val="19"/>
              </w:rPr>
              <w:t>测试样本、运行结果、回退方式，以及待盘点、待迁移、已验证、暂缓状态。</w:t>
            </w:r>
          </w:p>
        </w:tc>
      </w:tr>
    </w:tbl>
    <w:p>
      <w:pPr>
        <w:spacing w:after="20" w:before="0" w:line="240" w:lineRule="auto"/>
      </w:pPr>
      <w:r>
        <w:rPr>
          <w:sz w:val="4"/>
        </w:rPr>
      </w:r>
    </w:p>
    <w:p>
      <w:pPr>
        <w:pStyle w:val="Heading2"/>
      </w:pPr>
      <w:r>
        <w:t>将依赖分成四类处理</w:t>
      </w:r>
    </w:p>
    <w:p>
      <w:r>
        <w:rPr>
          <w:b w:val="0"/>
        </w:rPr>
        <w:t>可直接升级：同一维护来源，API 和数据语义变化小。需要适配：日志、配置或 HTTP 等调用点需要调整。需要专项迁移：状态格式、数据库提供程序、插件和图像原生依赖。暂时保留：有定制补丁、尚无合适替代或与本批目标无关的组件。</w:t>
      </w:r>
    </w:p>
    <w:p>
      <w:pPr>
        <w:pStyle w:val="Heading2"/>
      </w:pPr>
      <w:r>
        <w:t>每个库都执行同一套迁移步骤</w:t>
      </w:r>
    </w:p>
    <w:p>
      <w:pPr>
        <w:ind w:left="159" w:hanging="159"/>
      </w:pPr>
      <w:r>
        <w:rPr>
          <w:b/>
        </w:rPr>
        <w:t xml:space="preserve">• </w:t>
      </w:r>
      <w:r>
        <w:t>确认旧库实际用途，保存调用样例、旧数据和失败行为；先把验收标准写出来。</w:t>
      </w:r>
    </w:p>
    <w:p>
      <w:pPr>
        <w:ind w:left="159" w:hanging="159"/>
      </w:pPr>
      <w:r>
        <w:rPr>
          <w:b/>
        </w:rPr>
        <w:t xml:space="preserve">• </w:t>
      </w:r>
      <w:r>
        <w:t>查看候选版本的官方变更记录、目标框架、依赖图和许可；以实际兼容结果选版本，不仅按发布时间选择。</w:t>
      </w:r>
    </w:p>
    <w:p>
      <w:pPr>
        <w:ind w:left="159" w:hanging="159"/>
      </w:pPr>
      <w:r>
        <w:rPr>
          <w:b/>
        </w:rPr>
        <w:t xml:space="preserve">• </w:t>
      </w:r>
      <w:r>
        <w:t>先完成来源或包管理迁移，再处理需要升级的版本；若两者必须一起改变，记录原因并缩小其余改动。</w:t>
      </w:r>
    </w:p>
    <w:p>
      <w:pPr>
        <w:ind w:left="159" w:hanging="159"/>
      </w:pPr>
      <w:r>
        <w:rPr>
          <w:b/>
        </w:rPr>
        <w:t xml:space="preserve">• </w:t>
      </w:r>
      <w:r>
        <w:t>增加适配层，修改最少调用点；分别运行单元、集成、旧数据和运行性能验证。</w:t>
      </w:r>
    </w:p>
    <w:p>
      <w:pPr>
        <w:ind w:left="159" w:hanging="159"/>
      </w:pPr>
      <w:r>
        <w:rPr>
          <w:b/>
        </w:rPr>
        <w:t xml:space="preserve">• </w:t>
      </w:r>
      <w:r>
        <w:t>删除已确认不再使用的旧引用，检查发布目录没有同名旧 DLL 覆盖；提交版本、测试记录和回退说明。</w:t>
      </w:r>
    </w:p>
    <w:p>
      <w:pPr>
        <w:pStyle w:val="Heading2"/>
      </w:pPr>
      <w:r>
        <w:t>如何固定恢复结果</w:t>
      </w:r>
    </w:p>
    <w:p>
      <w:r>
        <w:rPr>
          <w:b w:val="0"/>
        </w:rPr>
        <w:t>对于采用 PackageReference 的应用入口，生成并提交合适的 packages.lock.json，在持续集成中使用 locked mode；需要更改依赖时有意识地更新锁文件。应用最终依赖图才决定部署版本，公共类库自己的锁文件不能约束所有消费它的应用。[5]</w:t>
      </w:r>
    </w:p>
    <w:p>
      <w:r>
        <w:rPr>
          <w:b w:val="0"/>
        </w:rPr>
        <w:t>自维护或来源特殊的二进制可以暂时放入有版本的内部包或受控依赖目录，附带源码地址、补丁与校验值。托管包、原生库和配置资源都要进入发布清单。</w:t>
      </w:r>
    </w:p>
    <w:p>
      <w:r>
        <w:br w:type="page"/>
      </w:r>
    </w:p>
    <w:p>
      <w:pPr>
        <w:pStyle w:val="Heading1"/>
      </w:pPr>
      <w:r>
        <w:t>常用基础库的升级与替换</w:t>
      </w:r>
    </w:p>
    <w:p>
      <w:r>
        <w:rPr>
          <w:b w:val="0"/>
        </w:rPr>
        <w:t>下表给出首批现代化的具体目标。候选库及接口应先在独立模块试验，再逐步迁移调用点；保留兼容适配层，直到旧入口的行为已经得到验证。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458"/>
        <w:gridCol w:w="4195"/>
      </w:tblGrid>
      <w:tr>
        <w:trPr>
          <w:cantSplit/>
          <w:tblHeader/>
        </w:trPr>
        <w:tc>
          <w:tcPr>
            <w:tcW w:type="dxa" w:w="1984"/>
            <w:vAlign w:val="center"/>
            <w:tcMar>
              <w:top w:w="85" w:type="dxa"/>
              <w:bottom w:w="85" w:type="dxa"/>
              <w:left w:w="110" w:type="dxa"/>
              <w:right w:w="110" w:type="dxa"/>
            </w:tcMar>
            <w:shd w:fill="243746"/>
          </w:tcPr>
          <w:p>
            <w:pPr>
              <w:keepNext/>
              <w:spacing w:after="0" w:line="280" w:lineRule="exact"/>
              <w:jc w:val="center"/>
            </w:pPr>
            <w:r>
              <w:rPr>
                <w:b/>
                <w:color w:val="FFFFFF"/>
                <w:sz w:val="19"/>
              </w:rPr>
              <w:t>现有用法或组件</w:t>
            </w:r>
          </w:p>
        </w:tc>
        <w:tc>
          <w:tcPr>
            <w:tcW w:type="dxa" w:w="3458"/>
            <w:vAlign w:val="center"/>
            <w:tcMar>
              <w:top w:w="85" w:type="dxa"/>
              <w:bottom w:w="85" w:type="dxa"/>
              <w:left w:w="110" w:type="dxa"/>
              <w:right w:w="110" w:type="dxa"/>
            </w:tcMar>
            <w:shd w:fill="243746"/>
          </w:tcPr>
          <w:p>
            <w:pPr>
              <w:keepNext/>
              <w:spacing w:after="0" w:line="280" w:lineRule="exact"/>
            </w:pPr>
            <w:r>
              <w:rPr>
                <w:b/>
                <w:color w:val="FFFFFF"/>
                <w:sz w:val="19"/>
              </w:rPr>
              <w:t>目标方案</w:t>
            </w:r>
          </w:p>
        </w:tc>
        <w:tc>
          <w:tcPr>
            <w:tcW w:type="dxa" w:w="4195"/>
            <w:vAlign w:val="center"/>
            <w:tcMar>
              <w:top w:w="85" w:type="dxa"/>
              <w:bottom w:w="85" w:type="dxa"/>
              <w:left w:w="110" w:type="dxa"/>
              <w:right w:w="110" w:type="dxa"/>
            </w:tcMar>
            <w:shd w:fill="243746"/>
          </w:tcPr>
          <w:p>
            <w:pPr>
              <w:keepNext/>
              <w:spacing w:after="0" w:line="280" w:lineRule="exact"/>
            </w:pPr>
            <w:r>
              <w:rPr>
                <w:b/>
                <w:color w:val="FFFFFF"/>
                <w:sz w:val="19"/>
              </w:rPr>
              <w:t>实施与验证重点</w:t>
            </w:r>
          </w:p>
        </w:tc>
      </w:tr>
      <w:tr>
        <w:trPr>
          <w:cantSplit/>
        </w:trPr>
        <w:tc>
          <w:tcPr>
            <w:tcW w:type="dxa" w:w="1984"/>
            <w:vAlign w:val="center"/>
            <w:tcMar>
              <w:top w:w="85" w:type="dxa"/>
              <w:bottom w:w="85" w:type="dxa"/>
              <w:left w:w="110" w:type="dxa"/>
              <w:right w:w="110" w:type="dxa"/>
            </w:tcMar>
            <w:shd w:fill="FFFFFF"/>
          </w:tcPr>
          <w:p>
            <w:pPr>
              <w:keepNext w:val="0"/>
              <w:spacing w:after="0" w:line="280" w:lineRule="exact"/>
              <w:jc w:val="center"/>
            </w:pPr>
            <w:r>
              <w:rPr>
                <w:sz w:val="19"/>
              </w:rPr>
              <w:t>log4net 调用</w:t>
            </w:r>
          </w:p>
        </w:tc>
        <w:tc>
          <w:tcPr>
            <w:tcW w:type="dxa" w:w="3458"/>
            <w:vAlign w:val="center"/>
            <w:tcMar>
              <w:top w:w="85" w:type="dxa"/>
              <w:bottom w:w="85" w:type="dxa"/>
              <w:left w:w="110" w:type="dxa"/>
              <w:right w:w="110" w:type="dxa"/>
            </w:tcMar>
            <w:shd w:fill="FFFFFF"/>
          </w:tcPr>
          <w:p>
            <w:pPr>
              <w:keepNext w:val="0"/>
              <w:spacing w:after="0" w:line="280" w:lineRule="exact"/>
            </w:pPr>
            <w:r>
              <w:rPr>
                <w:sz w:val="19"/>
              </w:rPr>
              <w:t>新模块使用 Microsoft.Extensions.Logging 抽象；初期可适配现有输出。</w:t>
            </w:r>
          </w:p>
        </w:tc>
        <w:tc>
          <w:tcPr>
            <w:tcW w:type="dxa" w:w="4195"/>
            <w:vAlign w:val="center"/>
            <w:tcMar>
              <w:top w:w="85" w:type="dxa"/>
              <w:bottom w:w="85" w:type="dxa"/>
              <w:left w:w="110" w:type="dxa"/>
              <w:right w:w="110" w:type="dxa"/>
            </w:tcMar>
            <w:shd w:fill="FFFFFF"/>
          </w:tcPr>
          <w:p>
            <w:pPr>
              <w:keepNext w:val="0"/>
              <w:spacing w:after="0" w:line="280" w:lineRule="exact"/>
            </w:pPr>
            <w:r>
              <w:rPr>
                <w:sz w:val="19"/>
              </w:rPr>
              <w:t>先统一字段和日志级别，保留旧配置；检查重复输出、异常堆栈和敏感字段。</w:t>
            </w:r>
          </w:p>
        </w:tc>
      </w:tr>
      <w:tr>
        <w:trPr>
          <w:cantSplit/>
        </w:trPr>
        <w:tc>
          <w:tcPr>
            <w:tcW w:type="dxa" w:w="1984"/>
            <w:vAlign w:val="center"/>
            <w:tcMar>
              <w:top w:w="85" w:type="dxa"/>
              <w:bottom w:w="85" w:type="dxa"/>
              <w:left w:w="110" w:type="dxa"/>
              <w:right w:w="110" w:type="dxa"/>
            </w:tcMar>
            <w:shd w:fill="F3F6F8"/>
          </w:tcPr>
          <w:p>
            <w:pPr>
              <w:keepNext w:val="0"/>
              <w:spacing w:after="0" w:line="280" w:lineRule="exact"/>
              <w:jc w:val="center"/>
            </w:pPr>
            <w:r>
              <w:rPr>
                <w:sz w:val="19"/>
              </w:rPr>
              <w:t>Nini 与零散配置读取</w:t>
            </w:r>
          </w:p>
        </w:tc>
        <w:tc>
          <w:tcPr>
            <w:tcW w:type="dxa" w:w="3458"/>
            <w:vAlign w:val="center"/>
            <w:tcMar>
              <w:top w:w="85" w:type="dxa"/>
              <w:bottom w:w="85" w:type="dxa"/>
              <w:left w:w="110" w:type="dxa"/>
              <w:right w:w="110" w:type="dxa"/>
            </w:tcMar>
            <w:shd w:fill="F3F6F8"/>
          </w:tcPr>
          <w:p>
            <w:pPr>
              <w:keepNext w:val="0"/>
              <w:spacing w:after="0" w:line="280" w:lineRule="exact"/>
            </w:pPr>
            <w:r>
              <w:rPr>
                <w:sz w:val="19"/>
              </w:rPr>
              <w:t>类型化配置、Options 和启动校验；兼容原 INI 来源。</w:t>
            </w:r>
          </w:p>
        </w:tc>
        <w:tc>
          <w:tcPr>
            <w:tcW w:type="dxa" w:w="4195"/>
            <w:vAlign w:val="center"/>
            <w:tcMar>
              <w:top w:w="85" w:type="dxa"/>
              <w:bottom w:w="85" w:type="dxa"/>
              <w:left w:w="110" w:type="dxa"/>
              <w:right w:w="110" w:type="dxa"/>
            </w:tcMar>
            <w:shd w:fill="F3F6F8"/>
          </w:tcPr>
          <w:p>
            <w:pPr>
              <w:keepNext w:val="0"/>
              <w:spacing w:after="0" w:line="280" w:lineRule="exact"/>
            </w:pPr>
            <w:r>
              <w:rPr>
                <w:sz w:val="19"/>
              </w:rPr>
              <w:t>保持 include 顺序、覆盖规则与默认值；错误配置给出明确位置。</w:t>
            </w:r>
          </w:p>
        </w:tc>
      </w:tr>
      <w:tr>
        <w:trPr>
          <w:cantSplit/>
        </w:trPr>
        <w:tc>
          <w:tcPr>
            <w:tcW w:type="dxa" w:w="1984"/>
            <w:vAlign w:val="center"/>
            <w:tcMar>
              <w:top w:w="85" w:type="dxa"/>
              <w:bottom w:w="85" w:type="dxa"/>
              <w:left w:w="110" w:type="dxa"/>
              <w:right w:w="110" w:type="dxa"/>
            </w:tcMar>
            <w:shd w:fill="FFFFFF"/>
          </w:tcPr>
          <w:p>
            <w:pPr>
              <w:keepNext w:val="0"/>
              <w:spacing w:after="0" w:line="280" w:lineRule="exact"/>
              <w:jc w:val="center"/>
            </w:pPr>
            <w:r>
              <w:rPr>
                <w:sz w:val="19"/>
              </w:rPr>
              <w:t>WebRequest 或同步 HTTP</w:t>
            </w:r>
          </w:p>
        </w:tc>
        <w:tc>
          <w:tcPr>
            <w:tcW w:type="dxa" w:w="3458"/>
            <w:vAlign w:val="center"/>
            <w:tcMar>
              <w:top w:w="85" w:type="dxa"/>
              <w:bottom w:w="85" w:type="dxa"/>
              <w:left w:w="110" w:type="dxa"/>
              <w:right w:w="110" w:type="dxa"/>
            </w:tcMar>
            <w:shd w:fill="FFFFFF"/>
          </w:tcPr>
          <w:p>
            <w:pPr>
              <w:keepNext w:val="0"/>
              <w:spacing w:after="0" w:line="280" w:lineRule="exact"/>
            </w:pPr>
            <w:r>
              <w:rPr>
                <w:sz w:val="19"/>
              </w:rPr>
              <w:t>HttpClient；选择工厂管理或设置连接寿命的长期客户端。</w:t>
            </w:r>
          </w:p>
        </w:tc>
        <w:tc>
          <w:tcPr>
            <w:tcW w:type="dxa" w:w="4195"/>
            <w:vAlign w:val="center"/>
            <w:tcMar>
              <w:top w:w="85" w:type="dxa"/>
              <w:bottom w:w="85" w:type="dxa"/>
              <w:left w:w="110" w:type="dxa"/>
              <w:right w:w="110" w:type="dxa"/>
            </w:tcMar>
            <w:shd w:fill="FFFFFF"/>
          </w:tcPr>
          <w:p>
            <w:pPr>
              <w:keepNext w:val="0"/>
              <w:spacing w:after="0" w:line="280" w:lineRule="exact"/>
            </w:pPr>
            <w:r>
              <w:rPr>
                <w:sz w:val="19"/>
              </w:rPr>
              <w:t>验证认证、证书、重定向、编码、错误码及取消；涉及 Cookie 的会话单独隔离。[8]</w:t>
            </w:r>
          </w:p>
        </w:tc>
      </w:tr>
      <w:tr>
        <w:trPr>
          <w:cantSplit/>
        </w:trPr>
        <w:tc>
          <w:tcPr>
            <w:tcW w:type="dxa" w:w="1984"/>
            <w:vAlign w:val="center"/>
            <w:tcMar>
              <w:top w:w="85" w:type="dxa"/>
              <w:bottom w:w="85" w:type="dxa"/>
              <w:left w:w="110" w:type="dxa"/>
              <w:right w:w="110" w:type="dxa"/>
            </w:tcMar>
            <w:shd w:fill="F3F6F8"/>
          </w:tcPr>
          <w:p>
            <w:pPr>
              <w:keepNext w:val="0"/>
              <w:spacing w:after="0" w:line="280" w:lineRule="exact"/>
              <w:jc w:val="center"/>
            </w:pPr>
            <w:r>
              <w:rPr>
                <w:sz w:val="19"/>
              </w:rPr>
              <w:t>SmartThreadPool 等任务调用</w:t>
            </w:r>
          </w:p>
        </w:tc>
        <w:tc>
          <w:tcPr>
            <w:tcW w:type="dxa" w:w="3458"/>
            <w:vAlign w:val="center"/>
            <w:tcMar>
              <w:top w:w="85" w:type="dxa"/>
              <w:bottom w:w="85" w:type="dxa"/>
              <w:left w:w="110" w:type="dxa"/>
              <w:right w:w="110" w:type="dxa"/>
            </w:tcMar>
            <w:shd w:fill="F3F6F8"/>
          </w:tcPr>
          <w:p>
            <w:pPr>
              <w:keepNext w:val="0"/>
              <w:spacing w:after="0" w:line="280" w:lineRule="exact"/>
            </w:pPr>
            <w:r>
              <w:rPr>
                <w:sz w:val="19"/>
              </w:rPr>
              <w:t>适合的 I/O 路径使用 async/await；需要排队时使用有界 Channel。</w:t>
            </w:r>
          </w:p>
        </w:tc>
        <w:tc>
          <w:tcPr>
            <w:tcW w:type="dxa" w:w="4195"/>
            <w:vAlign w:val="center"/>
            <w:tcMar>
              <w:top w:w="85" w:type="dxa"/>
              <w:bottom w:w="85" w:type="dxa"/>
              <w:left w:w="110" w:type="dxa"/>
              <w:right w:w="110" w:type="dxa"/>
            </w:tcMar>
            <w:shd w:fill="F3F6F8"/>
          </w:tcPr>
          <w:p>
            <w:pPr>
              <w:keepNext w:val="0"/>
              <w:spacing w:after="0" w:line="280" w:lineRule="exact"/>
            </w:pPr>
            <w:r>
              <w:rPr>
                <w:sz w:val="19"/>
              </w:rPr>
              <w:t>先盘点优先级、完成回调、关停和异常语义；保持原有任务顺序与容量控制。[11]</w:t>
            </w:r>
          </w:p>
        </w:tc>
      </w:tr>
      <w:tr>
        <w:trPr>
          <w:cantSplit/>
        </w:trPr>
        <w:tc>
          <w:tcPr>
            <w:tcW w:type="dxa" w:w="1984"/>
            <w:vAlign w:val="center"/>
            <w:tcMar>
              <w:top w:w="85" w:type="dxa"/>
              <w:bottom w:w="85" w:type="dxa"/>
              <w:left w:w="110" w:type="dxa"/>
              <w:right w:w="110" w:type="dxa"/>
            </w:tcMar>
            <w:shd w:fill="FFFFFF"/>
          </w:tcPr>
          <w:p>
            <w:pPr>
              <w:keepNext w:val="0"/>
              <w:spacing w:after="0" w:line="280" w:lineRule="exact"/>
              <w:jc w:val="center"/>
            </w:pPr>
            <w:r>
              <w:rPr>
                <w:sz w:val="19"/>
              </w:rPr>
              <w:t>对外新数据接口</w:t>
            </w:r>
          </w:p>
        </w:tc>
        <w:tc>
          <w:tcPr>
            <w:tcW w:type="dxa" w:w="3458"/>
            <w:vAlign w:val="center"/>
            <w:tcMar>
              <w:top w:w="85" w:type="dxa"/>
              <w:bottom w:w="85" w:type="dxa"/>
              <w:left w:w="110" w:type="dxa"/>
              <w:right w:w="110" w:type="dxa"/>
            </w:tcMar>
            <w:shd w:fill="FFFFFF"/>
          </w:tcPr>
          <w:p>
            <w:pPr>
              <w:keepNext w:val="0"/>
              <w:spacing w:after="0" w:line="280" w:lineRule="exact"/>
            </w:pPr>
            <w:r>
              <w:rPr>
                <w:sz w:val="19"/>
              </w:rPr>
              <w:t>明确 DTO 与 System.Text.Json，约定版本和错误对象。</w:t>
            </w:r>
          </w:p>
        </w:tc>
        <w:tc>
          <w:tcPr>
            <w:tcW w:type="dxa" w:w="4195"/>
            <w:vAlign w:val="center"/>
            <w:tcMar>
              <w:top w:w="85" w:type="dxa"/>
              <w:bottom w:w="85" w:type="dxa"/>
              <w:left w:w="110" w:type="dxa"/>
              <w:right w:w="110" w:type="dxa"/>
            </w:tcMar>
            <w:shd w:fill="FFFFFF"/>
          </w:tcPr>
          <w:p>
            <w:pPr>
              <w:keepNext w:val="0"/>
              <w:spacing w:after="0" w:line="280" w:lineRule="exact"/>
            </w:pPr>
            <w:r>
              <w:rPr>
                <w:sz w:val="19"/>
              </w:rPr>
              <w:t>固定 UUID、坐标、时间、空值和枚举表示；既有 XML、LLSD 等协议格式分别保留。</w:t>
            </w:r>
          </w:p>
        </w:tc>
      </w:tr>
      <w:tr>
        <w:trPr>
          <w:cantSplit/>
        </w:trPr>
        <w:tc>
          <w:tcPr>
            <w:tcW w:type="dxa" w:w="1984"/>
            <w:vAlign w:val="center"/>
            <w:tcMar>
              <w:top w:w="85" w:type="dxa"/>
              <w:bottom w:w="85" w:type="dxa"/>
              <w:left w:w="110" w:type="dxa"/>
              <w:right w:w="110" w:type="dxa"/>
            </w:tcMar>
            <w:shd w:fill="F3F6F8"/>
          </w:tcPr>
          <w:p>
            <w:pPr>
              <w:keepNext w:val="0"/>
              <w:spacing w:after="0" w:line="280" w:lineRule="exact"/>
              <w:jc w:val="center"/>
            </w:pPr>
            <w:r>
              <w:rPr>
                <w:sz w:val="19"/>
              </w:rPr>
              <w:t>历史 NUnit 测试工程</w:t>
            </w:r>
          </w:p>
        </w:tc>
        <w:tc>
          <w:tcPr>
            <w:tcW w:type="dxa" w:w="3458"/>
            <w:vAlign w:val="center"/>
            <w:tcMar>
              <w:top w:w="85" w:type="dxa"/>
              <w:bottom w:w="85" w:type="dxa"/>
              <w:left w:w="110" w:type="dxa"/>
              <w:right w:w="110" w:type="dxa"/>
            </w:tcMar>
            <w:shd w:fill="F3F6F8"/>
          </w:tcPr>
          <w:p>
            <w:pPr>
              <w:keepNext w:val="0"/>
              <w:spacing w:after="0" w:line="280" w:lineRule="exact"/>
            </w:pPr>
            <w:r>
              <w:rPr>
                <w:sz w:val="19"/>
              </w:rPr>
              <w:t>按所选 NUnit 版本配套测试 SDK 和适配器，恢复 dotnet test 工作流。</w:t>
            </w:r>
          </w:p>
        </w:tc>
        <w:tc>
          <w:tcPr>
            <w:tcW w:type="dxa" w:w="4195"/>
            <w:vAlign w:val="center"/>
            <w:tcMar>
              <w:top w:w="85" w:type="dxa"/>
              <w:bottom w:w="85" w:type="dxa"/>
              <w:left w:w="110" w:type="dxa"/>
              <w:right w:w="110" w:type="dxa"/>
            </w:tcMar>
            <w:shd w:fill="F3F6F8"/>
          </w:tcPr>
          <w:p>
            <w:pPr>
              <w:keepNext w:val="0"/>
              <w:spacing w:after="0" w:line="280" w:lineRule="exact"/>
            </w:pPr>
            <w:r>
              <w:rPr>
                <w:sz w:val="19"/>
              </w:rPr>
              <w:t>先验证发现的用例数量，再迁移断言和生命周期；不能只以测试进程退出成功为准。[12]</w:t>
            </w:r>
          </w:p>
        </w:tc>
      </w:tr>
    </w:tbl>
    <w:p>
      <w:pPr>
        <w:spacing w:after="20" w:before="0" w:line="240" w:lineRule="auto"/>
      </w:pPr>
      <w:r>
        <w:rPr>
          <w:sz w:val="4"/>
        </w:rPr>
      </w:r>
    </w:p>
    <w:p>
      <w:pPr>
        <w:pStyle w:val="Heading2"/>
      </w:pPr>
      <w:r>
        <w:t>以 HTTP 迁移为例</w:t>
      </w:r>
    </w:p>
    <w:p>
      <w:r>
        <w:rPr>
          <w:b w:val="0"/>
        </w:rPr>
        <w:t>先为旧请求建立响应样本与错误用例；再把请求地址、认证、超时和编码封装进一个客户端。替换一个调用路径后，检查成功、拒绝、超时、断开和取消时的返回结果，再扩大使用范围。读取和写入请求分别决定是否允许重试。</w:t>
      </w:r>
    </w:p>
    <w:p>
      <w:r>
        <w:rPr>
          <w:b w:val="0"/>
        </w:rPr>
        <w:t>不要把非幂等的写入或 NPC 动作设置为无条件重试。若需要重试，由服务端使用命令编号识别重复请求，并保存明确的执行结果。</w:t>
      </w:r>
    </w:p>
    <w:p>
      <w:pPr>
        <w:pStyle w:val="Heading2"/>
      </w:pPr>
      <w:r>
        <w:t>以配置迁移为例</w:t>
      </w:r>
    </w:p>
    <w:p>
      <w:r>
        <w:rPr>
          <w:b w:val="0"/>
        </w:rPr>
        <w:t>先保留 OpenSim.ini 及相关 include 文件的解析方式，在边界把配置映射为类型化对象。确认范围、默认值与覆盖顺序一致后，再迁移消费这些配置的模块。动态配置是否可重载，应按模块的真实生命周期单独定义。</w:t>
      </w:r>
    </w:p>
    <w:p>
      <w:r>
        <w:rPr>
          <w:b/>
        </w:rPr>
        <w:t>第一批完成的证据应包括一条实际调用路径、一组行为测试、确定的版本与发布文件清单。只引入新包但仍让核心路径绕过新接口，不能算该模块迁移完成。</w:t>
      </w:r>
    </w:p>
    <w:p>
      <w:r>
        <w:br w:type="page"/>
      </w:r>
    </w:p>
    <w:p>
      <w:pPr>
        <w:pStyle w:val="Heading1"/>
      </w:pPr>
      <w:r>
        <w:t>复杂依赖和原生库的专项处理</w:t>
      </w:r>
    </w:p>
    <w:p>
      <w:r>
        <w:rPr>
          <w:b w:val="0"/>
        </w:rPr>
        <w:t>以下组件与协议、插件、数据库或平台二进制关系密切。先验证来源及兼容性，再决定继续维护、升级版本或更换实现；不能按程序集名称直接批量替换。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572"/>
        <w:gridCol w:w="4082"/>
      </w:tblGrid>
      <w:tr>
        <w:trPr>
          <w:cantSplit/>
          <w:tblHeader/>
        </w:trPr>
        <w:tc>
          <w:tcPr>
            <w:tcW w:type="dxa" w:w="1984"/>
            <w:vAlign w:val="center"/>
            <w:tcMar>
              <w:top w:w="85" w:type="dxa"/>
              <w:bottom w:w="85" w:type="dxa"/>
              <w:left w:w="110" w:type="dxa"/>
              <w:right w:w="110" w:type="dxa"/>
            </w:tcMar>
            <w:shd w:fill="243746"/>
          </w:tcPr>
          <w:p>
            <w:pPr>
              <w:keepNext/>
              <w:spacing w:after="0" w:line="280" w:lineRule="exact"/>
              <w:jc w:val="center"/>
            </w:pPr>
            <w:r>
              <w:rPr>
                <w:b/>
                <w:color w:val="FFFFFF"/>
                <w:sz w:val="19"/>
              </w:rPr>
              <w:t>组件</w:t>
            </w:r>
          </w:p>
        </w:tc>
        <w:tc>
          <w:tcPr>
            <w:tcW w:type="dxa" w:w="3572"/>
            <w:vAlign w:val="center"/>
            <w:tcMar>
              <w:top w:w="85" w:type="dxa"/>
              <w:bottom w:w="85" w:type="dxa"/>
              <w:left w:w="110" w:type="dxa"/>
              <w:right w:w="110" w:type="dxa"/>
            </w:tcMar>
            <w:shd w:fill="243746"/>
          </w:tcPr>
          <w:p>
            <w:pPr>
              <w:keepNext/>
              <w:spacing w:after="0" w:line="280" w:lineRule="exact"/>
            </w:pPr>
            <w:r>
              <w:rPr>
                <w:b/>
                <w:color w:val="FFFFFF"/>
                <w:sz w:val="19"/>
              </w:rPr>
              <w:t>为什么需要专项处理</w:t>
            </w:r>
          </w:p>
        </w:tc>
        <w:tc>
          <w:tcPr>
            <w:tcW w:type="dxa" w:w="4082"/>
            <w:vAlign w:val="center"/>
            <w:tcMar>
              <w:top w:w="85" w:type="dxa"/>
              <w:bottom w:w="85" w:type="dxa"/>
              <w:left w:w="110" w:type="dxa"/>
              <w:right w:w="110" w:type="dxa"/>
            </w:tcMar>
            <w:shd w:fill="243746"/>
          </w:tcPr>
          <w:p>
            <w:pPr>
              <w:keepNext/>
              <w:spacing w:after="0" w:line="280" w:lineRule="exact"/>
            </w:pPr>
            <w:r>
              <w:rPr>
                <w:b/>
                <w:color w:val="FFFFFF"/>
                <w:sz w:val="19"/>
              </w:rPr>
              <w:t>建议迁移路径</w:t>
            </w:r>
          </w:p>
        </w:tc>
      </w:tr>
      <w:tr>
        <w:trPr>
          <w:cantSplit/>
        </w:trPr>
        <w:tc>
          <w:tcPr>
            <w:tcW w:type="dxa" w:w="1984"/>
            <w:vAlign w:val="center"/>
            <w:tcMar>
              <w:top w:w="85" w:type="dxa"/>
              <w:bottom w:w="85" w:type="dxa"/>
              <w:left w:w="110" w:type="dxa"/>
              <w:right w:w="110" w:type="dxa"/>
            </w:tcMar>
            <w:shd w:fill="FFFFFF"/>
          </w:tcPr>
          <w:p>
            <w:pPr>
              <w:keepNext w:val="0"/>
              <w:spacing w:after="0" w:line="280" w:lineRule="exact"/>
              <w:jc w:val="center"/>
            </w:pPr>
            <w:r>
              <w:rPr>
                <w:sz w:val="19"/>
              </w:rPr>
              <w:t>OpenMetaverse 系列</w:t>
            </w:r>
          </w:p>
        </w:tc>
        <w:tc>
          <w:tcPr>
            <w:tcW w:type="dxa" w:w="3572"/>
            <w:vAlign w:val="center"/>
            <w:tcMar>
              <w:top w:w="85" w:type="dxa"/>
              <w:bottom w:w="85" w:type="dxa"/>
              <w:left w:w="110" w:type="dxa"/>
              <w:right w:w="110" w:type="dxa"/>
            </w:tcMar>
            <w:shd w:fill="FFFFFF"/>
          </w:tcPr>
          <w:p>
            <w:pPr>
              <w:keepNext w:val="0"/>
              <w:spacing w:after="0" w:line="280" w:lineRule="exact"/>
            </w:pPr>
            <w:r>
              <w:rPr>
                <w:sz w:val="19"/>
              </w:rPr>
              <w:t>类型和协议广泛使用，可能包含 OpenSimulator 所需的分支或补丁。</w:t>
            </w:r>
          </w:p>
        </w:tc>
        <w:tc>
          <w:tcPr>
            <w:tcW w:type="dxa" w:w="4082"/>
            <w:vAlign w:val="center"/>
            <w:tcMar>
              <w:top w:w="85" w:type="dxa"/>
              <w:bottom w:w="85" w:type="dxa"/>
              <w:left w:w="110" w:type="dxa"/>
              <w:right w:w="110" w:type="dxa"/>
            </w:tcMar>
            <w:shd w:fill="FFFFFF"/>
          </w:tcPr>
          <w:p>
            <w:pPr>
              <w:keepNext w:val="0"/>
              <w:spacing w:after="0" w:line="280" w:lineRule="exact"/>
            </w:pPr>
            <w:r>
              <w:rPr>
                <w:sz w:val="19"/>
              </w:rPr>
              <w:t>固定来源与补丁；用 Viewer 报文和资产样本回归。新契约在边界转换其类型。</w:t>
            </w:r>
          </w:p>
        </w:tc>
      </w:tr>
      <w:tr>
        <w:trPr>
          <w:cantSplit/>
        </w:trPr>
        <w:tc>
          <w:tcPr>
            <w:tcW w:type="dxa" w:w="1984"/>
            <w:vAlign w:val="center"/>
            <w:tcMar>
              <w:top w:w="85" w:type="dxa"/>
              <w:bottom w:w="85" w:type="dxa"/>
              <w:left w:w="110" w:type="dxa"/>
              <w:right w:w="110" w:type="dxa"/>
            </w:tcMar>
            <w:shd w:fill="F3F6F8"/>
          </w:tcPr>
          <w:p>
            <w:pPr>
              <w:keepNext w:val="0"/>
              <w:spacing w:after="0" w:line="280" w:lineRule="exact"/>
              <w:jc w:val="center"/>
            </w:pPr>
            <w:r>
              <w:rPr>
                <w:sz w:val="19"/>
              </w:rPr>
              <w:t>Mono.Addins</w:t>
            </w:r>
          </w:p>
        </w:tc>
        <w:tc>
          <w:tcPr>
            <w:tcW w:type="dxa" w:w="3572"/>
            <w:vAlign w:val="center"/>
            <w:tcMar>
              <w:top w:w="85" w:type="dxa"/>
              <w:bottom w:w="85" w:type="dxa"/>
              <w:left w:w="110" w:type="dxa"/>
              <w:right w:w="110" w:type="dxa"/>
            </w:tcMar>
            <w:shd w:fill="F3F6F8"/>
          </w:tcPr>
          <w:p>
            <w:pPr>
              <w:keepNext w:val="0"/>
              <w:spacing w:after="0" w:line="280" w:lineRule="exact"/>
            </w:pPr>
            <w:r>
              <w:rPr>
                <w:sz w:val="19"/>
              </w:rPr>
              <w:t>插件发现、资源标记、依赖及装配顺序属于运行行为。</w:t>
            </w:r>
          </w:p>
        </w:tc>
        <w:tc>
          <w:tcPr>
            <w:tcW w:type="dxa" w:w="4082"/>
            <w:vAlign w:val="center"/>
            <w:tcMar>
              <w:top w:w="85" w:type="dxa"/>
              <w:bottom w:w="85" w:type="dxa"/>
              <w:left w:w="110" w:type="dxa"/>
              <w:right w:w="110" w:type="dxa"/>
            </w:tcMar>
            <w:shd w:fill="F3F6F8"/>
          </w:tcPr>
          <w:p>
            <w:pPr>
              <w:keepNext w:val="0"/>
              <w:spacing w:after="0" w:line="280" w:lineRule="exact"/>
            </w:pPr>
            <w:r>
              <w:rPr>
                <w:sz w:val="19"/>
              </w:rPr>
              <w:t>先保留加载器，测试注册、替换接口和卸载；确有维护障碍再评估新加载方案。</w:t>
            </w:r>
          </w:p>
        </w:tc>
      </w:tr>
      <w:tr>
        <w:trPr>
          <w:cantSplit/>
        </w:trPr>
        <w:tc>
          <w:tcPr>
            <w:tcW w:type="dxa" w:w="1984"/>
            <w:vAlign w:val="center"/>
            <w:tcMar>
              <w:top w:w="85" w:type="dxa"/>
              <w:bottom w:w="85" w:type="dxa"/>
              <w:left w:w="110" w:type="dxa"/>
              <w:right w:w="110" w:type="dxa"/>
            </w:tcMar>
            <w:shd w:fill="FFFFFF"/>
          </w:tcPr>
          <w:p>
            <w:pPr>
              <w:keepNext w:val="0"/>
              <w:spacing w:after="0" w:line="280" w:lineRule="exact"/>
              <w:jc w:val="center"/>
            </w:pPr>
            <w:r>
              <w:rPr>
                <w:sz w:val="19"/>
              </w:rPr>
              <w:t>System.Drawing.Common</w:t>
            </w:r>
          </w:p>
        </w:tc>
        <w:tc>
          <w:tcPr>
            <w:tcW w:type="dxa" w:w="3572"/>
            <w:vAlign w:val="center"/>
            <w:tcMar>
              <w:top w:w="85" w:type="dxa"/>
              <w:bottom w:w="85" w:type="dxa"/>
              <w:left w:w="110" w:type="dxa"/>
              <w:right w:w="110" w:type="dxa"/>
            </w:tcMar>
            <w:shd w:fill="FFFFFF"/>
          </w:tcPr>
          <w:p>
            <w:pPr>
              <w:keepNext w:val="0"/>
              <w:spacing w:after="0" w:line="280" w:lineRule="exact"/>
            </w:pPr>
            <w:r>
              <w:rPr>
                <w:sz w:val="19"/>
              </w:rPr>
              <w:t>本仓库按系统复制不同 DLL；官方现代版本具有 Windows 平台限制。</w:t>
            </w:r>
          </w:p>
        </w:tc>
        <w:tc>
          <w:tcPr>
            <w:tcW w:type="dxa" w:w="4082"/>
            <w:vAlign w:val="center"/>
            <w:tcMar>
              <w:top w:w="85" w:type="dxa"/>
              <w:bottom w:w="85" w:type="dxa"/>
              <w:left w:w="110" w:type="dxa"/>
              <w:right w:w="110" w:type="dxa"/>
            </w:tcMar>
            <w:shd w:fill="FFFFFF"/>
          </w:tcPr>
          <w:p>
            <w:pPr>
              <w:keepNext w:val="0"/>
              <w:spacing w:after="0" w:line="280" w:lineRule="exact"/>
            </w:pPr>
            <w:r>
              <w:rPr>
                <w:sz w:val="19"/>
              </w:rPr>
              <w:t>核实二进制来源；Windows 先验证现状。若部署 Linux，隔离图像操作，评估跨平台实现。[9]</w:t>
            </w:r>
          </w:p>
        </w:tc>
      </w:tr>
      <w:tr>
        <w:trPr>
          <w:cantSplit/>
        </w:trPr>
        <w:tc>
          <w:tcPr>
            <w:tcW w:type="dxa" w:w="1984"/>
            <w:vAlign w:val="center"/>
            <w:tcMar>
              <w:top w:w="85" w:type="dxa"/>
              <w:bottom w:w="85" w:type="dxa"/>
              <w:left w:w="110" w:type="dxa"/>
              <w:right w:w="110" w:type="dxa"/>
            </w:tcMar>
            <w:shd w:fill="F3F6F8"/>
          </w:tcPr>
          <w:p>
            <w:pPr>
              <w:keepNext w:val="0"/>
              <w:spacing w:after="0" w:line="280" w:lineRule="exact"/>
              <w:jc w:val="center"/>
            </w:pPr>
            <w:r>
              <w:rPr>
                <w:sz w:val="19"/>
              </w:rPr>
              <w:t>SQLite 与其他数据提供程序</w:t>
            </w:r>
          </w:p>
        </w:tc>
        <w:tc>
          <w:tcPr>
            <w:tcW w:type="dxa" w:w="3572"/>
            <w:vAlign w:val="center"/>
            <w:tcMar>
              <w:top w:w="85" w:type="dxa"/>
              <w:bottom w:w="85" w:type="dxa"/>
              <w:left w:w="110" w:type="dxa"/>
              <w:right w:w="110" w:type="dxa"/>
            </w:tcMar>
            <w:shd w:fill="F3F6F8"/>
          </w:tcPr>
          <w:p>
            <w:pPr>
              <w:keepNext w:val="0"/>
              <w:spacing w:after="0" w:line="280" w:lineRule="exact"/>
            </w:pPr>
            <w:r>
              <w:rPr>
                <w:sz w:val="19"/>
              </w:rPr>
              <w:t>连接、事务、SQL 方言、类型映射与迁移脚本可能不同。</w:t>
            </w:r>
          </w:p>
        </w:tc>
        <w:tc>
          <w:tcPr>
            <w:tcW w:type="dxa" w:w="4082"/>
            <w:vAlign w:val="center"/>
            <w:tcMar>
              <w:top w:w="85" w:type="dxa"/>
              <w:bottom w:w="85" w:type="dxa"/>
              <w:left w:w="110" w:type="dxa"/>
              <w:right w:w="110" w:type="dxa"/>
            </w:tcMar>
            <w:shd w:fill="F3F6F8"/>
          </w:tcPr>
          <w:p>
            <w:pPr>
              <w:keepNext w:val="0"/>
              <w:spacing w:after="0" w:line="280" w:lineRule="exact"/>
            </w:pPr>
            <w:r>
              <w:rPr>
                <w:sz w:val="19"/>
              </w:rPr>
              <w:t>先验证当前 SQLite，封装连接创建；在数据副本上试验提供程序，保持表结构稳定。</w:t>
            </w:r>
          </w:p>
        </w:tc>
      </w:tr>
      <w:tr>
        <w:trPr>
          <w:cantSplit/>
        </w:trPr>
        <w:tc>
          <w:tcPr>
            <w:tcW w:type="dxa" w:w="1984"/>
            <w:vAlign w:val="center"/>
            <w:tcMar>
              <w:top w:w="85" w:type="dxa"/>
              <w:bottom w:w="85" w:type="dxa"/>
              <w:left w:w="110" w:type="dxa"/>
              <w:right w:w="110" w:type="dxa"/>
            </w:tcMar>
            <w:shd w:fill="FFFFFF"/>
          </w:tcPr>
          <w:p>
            <w:pPr>
              <w:keepNext w:val="0"/>
              <w:spacing w:after="0" w:line="280" w:lineRule="exact"/>
              <w:jc w:val="center"/>
            </w:pPr>
            <w:r>
              <w:rPr>
                <w:sz w:val="19"/>
              </w:rPr>
              <w:t>物理与图像原生库</w:t>
            </w:r>
          </w:p>
        </w:tc>
        <w:tc>
          <w:tcPr>
            <w:tcW w:type="dxa" w:w="3572"/>
            <w:vAlign w:val="center"/>
            <w:tcMar>
              <w:top w:w="85" w:type="dxa"/>
              <w:bottom w:w="85" w:type="dxa"/>
              <w:left w:w="110" w:type="dxa"/>
              <w:right w:w="110" w:type="dxa"/>
            </w:tcMar>
            <w:shd w:fill="FFFFFF"/>
          </w:tcPr>
          <w:p>
            <w:pPr>
              <w:keepNext w:val="0"/>
              <w:spacing w:after="0" w:line="280" w:lineRule="exact"/>
            </w:pPr>
            <w:r>
              <w:rPr>
                <w:sz w:val="19"/>
              </w:rPr>
              <w:t>CPU 架构、调用约定、依赖库、句柄和缓冲区布局均影响正确性。</w:t>
            </w:r>
          </w:p>
        </w:tc>
        <w:tc>
          <w:tcPr>
            <w:tcW w:type="dxa" w:w="4082"/>
            <w:vAlign w:val="center"/>
            <w:tcMar>
              <w:top w:w="85" w:type="dxa"/>
              <w:bottom w:w="85" w:type="dxa"/>
              <w:left w:w="110" w:type="dxa"/>
              <w:right w:w="110" w:type="dxa"/>
            </w:tcMar>
            <w:shd w:fill="FFFFFF"/>
          </w:tcPr>
          <w:p>
            <w:pPr>
              <w:keepNext w:val="0"/>
              <w:spacing w:after="0" w:line="280" w:lineRule="exact"/>
            </w:pPr>
            <w:r>
              <w:rPr>
                <w:sz w:val="19"/>
              </w:rPr>
              <w:t>列出每个平台的二进制和依赖；从启动、加载到真实计算逐项验证。[10]</w:t>
            </w:r>
          </w:p>
        </w:tc>
      </w:tr>
      <w:tr>
        <w:trPr>
          <w:cantSplit/>
        </w:trPr>
        <w:tc>
          <w:tcPr>
            <w:tcW w:type="dxa" w:w="1984"/>
            <w:vAlign w:val="center"/>
            <w:tcMar>
              <w:top w:w="85" w:type="dxa"/>
              <w:bottom w:w="85" w:type="dxa"/>
              <w:left w:w="110" w:type="dxa"/>
              <w:right w:w="110" w:type="dxa"/>
            </w:tcMar>
            <w:shd w:fill="F3F6F8"/>
          </w:tcPr>
          <w:p>
            <w:pPr>
              <w:keepNext w:val="0"/>
              <w:spacing w:after="0" w:line="280" w:lineRule="exact"/>
              <w:jc w:val="center"/>
            </w:pPr>
            <w:r>
              <w:rPr>
                <w:sz w:val="19"/>
              </w:rPr>
              <w:t>XMLRPC 与旧服务协议</w:t>
            </w:r>
          </w:p>
        </w:tc>
        <w:tc>
          <w:tcPr>
            <w:tcW w:type="dxa" w:w="3572"/>
            <w:vAlign w:val="center"/>
            <w:tcMar>
              <w:top w:w="85" w:type="dxa"/>
              <w:bottom w:w="85" w:type="dxa"/>
              <w:left w:w="110" w:type="dxa"/>
              <w:right w:w="110" w:type="dxa"/>
            </w:tcMar>
            <w:shd w:fill="F3F6F8"/>
          </w:tcPr>
          <w:p>
            <w:pPr>
              <w:keepNext w:val="0"/>
              <w:spacing w:after="0" w:line="280" w:lineRule="exact"/>
            </w:pPr>
            <w:r>
              <w:rPr>
                <w:sz w:val="19"/>
              </w:rPr>
              <w:t>客户端和 Grid 服务可能依赖原有报文与失败语义。</w:t>
            </w:r>
          </w:p>
        </w:tc>
        <w:tc>
          <w:tcPr>
            <w:tcW w:type="dxa" w:w="4082"/>
            <w:vAlign w:val="center"/>
            <w:tcMar>
              <w:top w:w="85" w:type="dxa"/>
              <w:bottom w:w="85" w:type="dxa"/>
              <w:left w:w="110" w:type="dxa"/>
              <w:right w:w="110" w:type="dxa"/>
            </w:tcMar>
            <w:shd w:fill="F3F6F8"/>
          </w:tcPr>
          <w:p>
            <w:pPr>
              <w:keepNext w:val="0"/>
              <w:spacing w:after="0" w:line="280" w:lineRule="exact"/>
            </w:pPr>
            <w:r>
              <w:rPr>
                <w:sz w:val="19"/>
              </w:rPr>
              <w:t>先封装旧协议入口；新接口采用新契约，已有协议迁移单独做兼容设计。</w:t>
            </w:r>
          </w:p>
        </w:tc>
      </w:tr>
    </w:tbl>
    <w:p>
      <w:pPr>
        <w:spacing w:after="20" w:before="0" w:line="240" w:lineRule="auto"/>
      </w:pPr>
      <w:r>
        <w:rPr>
          <w:sz w:val="4"/>
        </w:rPr>
      </w:r>
    </w:p>
    <w:p>
      <w:pPr>
        <w:pStyle w:val="Heading2"/>
      </w:pPr>
      <w:r>
        <w:t>图像处理的迁移方法</w:t>
      </w:r>
    </w:p>
    <w:p>
      <w:r>
        <w:rPr>
          <w:b w:val="0"/>
        </w:rPr>
        <w:t>先列出缩放、地图、纹理、文字绘制和编码等实际用途，再决定替代范围。可评估 SkiaSharp 等跨平台实现，但必须核对原生分发、许可证、所需格式与输出差异；通用图像库并不自动覆盖 OpenSim 的全部纹理编码需求。[9]</w:t>
      </w:r>
    </w:p>
    <w:p>
      <w:r>
        <w:rPr>
          <w:b w:val="0"/>
        </w:rPr>
        <w:t>保留标准图像样本，比较尺寸、透明度、色彩和编码结果；文字绘制还应检查字体与测量差异。目标包括 Linux 时，应在该系统上验证，不能用 Windows 测试结果代替。</w:t>
      </w:r>
    </w:p>
    <w:p>
      <w:pPr>
        <w:pStyle w:val="Heading2"/>
      </w:pPr>
      <w:r>
        <w:t>数据库和插件的迁移方法</w:t>
      </w:r>
    </w:p>
    <w:p>
      <w:r>
        <w:rPr>
          <w:b w:val="0"/>
        </w:rPr>
        <w:t>数据迁移先做只读比较，再验证新增、修改、删除、事务失败和恢复。插件迁移要检查依赖缺失、重复注册、加载顺序、区域退出及资源释放。发布前从实际装配目录启动，避免开发环境掩盖缺失的二进制。</w:t>
      </w:r>
    </w:p>
    <w:p>
      <w:r>
        <w:rPr>
          <w:b w:val="0"/>
          <w:sz w:val="19"/>
        </w:rPr>
        <w:t>若选择保留某个旧组件，也应记录维护来源、锁定版本、限制条件与后续触发升级的条件。“暂时保留”是明确决策，不能在清单中省略。</w:t>
      </w:r>
    </w:p>
    <w:p>
      <w:r>
        <w:br w:type="page"/>
      </w:r>
    </w:p>
    <w:p>
      <w:pPr>
        <w:pStyle w:val="Heading1"/>
      </w:pPr>
      <w:r>
        <w:t>运行时升级与脚本状态迁移</w:t>
      </w:r>
    </w:p>
    <w:p>
      <w:r>
        <w:rPr>
          <w:b w:val="0"/>
        </w:rPr>
        <w:t>推荐以 .NET 10 LTS 为目标。.NET 8 支持于 2026年11月10日结束，.NET 10 LTS 支持至 2028年11月14日。目标框架升级应在启动阶段试验、在发布前通过验收；这些支持日期不等于 OpenSim 已经具备相应兼容性。[2]</w:t>
      </w:r>
    </w:p>
    <w:p>
      <w:pPr>
        <w:pStyle w:val="Heading2"/>
      </w:pPr>
      <w:r>
        <w:t>先做有限范围的升级试验</w:t>
      </w:r>
    </w:p>
    <w:p>
      <w:pPr>
        <w:ind w:left="159" w:hanging="159"/>
      </w:pPr>
      <w:r>
        <w:rPr>
          <w:b/>
        </w:rPr>
        <w:t xml:space="preserve">• </w:t>
      </w:r>
      <w:r>
        <w:t>保存 .NET 8 基线，在独立分支试验目标框架；记录编译错误、分析警告、依赖加载和启动失败。Prebuild 的参数值与 csproj 的 TargetFramework 语法不同，不能机械替换。</w:t>
      </w:r>
    </w:p>
    <w:p>
      <w:pPr>
        <w:ind w:left="159" w:hanging="159"/>
      </w:pPr>
      <w:r>
        <w:rPr>
          <w:b/>
        </w:rPr>
        <w:t xml:space="preserve">• </w:t>
      </w:r>
      <w:r>
        <w:t>暂时保持应用功能与数据结构不变，分别检查模块加载、脚本编译与恢复、物理、图像、数据库和客户端连接。避免把问题归因于同时发生的多项迁移。</w:t>
      </w:r>
    </w:p>
    <w:p>
      <w:pPr>
        <w:ind w:left="159" w:hanging="159"/>
      </w:pPr>
      <w:r>
        <w:rPr>
          <w:b/>
        </w:rPr>
        <w:t xml:space="preserve">• </w:t>
      </w:r>
      <w:r>
        <w:t>需要跨框架过渡的进程内组件按宿主兼容范围编译；独立服务可以使用不同运行时。不要假设 net10.0 插件能直接加载进 .NET 8 宿主。</w:t>
      </w:r>
    </w:p>
    <w:p>
      <w:pPr>
        <w:pStyle w:val="Heading2"/>
      </w:pPr>
      <w:r>
        <w:t>BinaryFormatter 要怎样处理</w:t>
      </w:r>
    </w:p>
    <w:p>
      <w:r>
        <w:rPr>
          <w:b w:val="0"/>
        </w:rPr>
        <w:t>.NET 9 起，内置 BinaryFormatter 实现已被移除，原有兼容开关不足以恢复它。源码中 THROWNEX 与 SYSERIAL 分支嵌入旧格式，不能将整个状态流直接换成 JSON；需要保留外层格式语义，并专项替换受影响的对象编码。[3]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trPr>
          <w:cantSplit/>
          <w:tblHeader/>
        </w:trPr>
        <w:tc>
          <w:tcPr>
            <w:tcW w:type="dxa" w:w="1701"/>
            <w:vAlign w:val="center"/>
            <w:tcMar>
              <w:top w:w="85" w:type="dxa"/>
              <w:bottom w:w="85" w:type="dxa"/>
              <w:left w:w="110" w:type="dxa"/>
              <w:right w:w="110" w:type="dxa"/>
            </w:tcMar>
            <w:shd w:fill="243746"/>
          </w:tcPr>
          <w:p>
            <w:pPr>
              <w:keepNext/>
              <w:spacing w:after="0" w:line="280" w:lineRule="exact"/>
              <w:jc w:val="center"/>
            </w:pPr>
            <w:r>
              <w:rPr>
                <w:b/>
                <w:color w:val="FFFFFF"/>
                <w:sz w:val="19"/>
              </w:rPr>
              <w:t>步骤</w:t>
            </w:r>
          </w:p>
        </w:tc>
        <w:tc>
          <w:tcPr>
            <w:tcW w:type="dxa" w:w="7937"/>
            <w:vAlign w:val="center"/>
            <w:tcMar>
              <w:top w:w="85" w:type="dxa"/>
              <w:bottom w:w="85" w:type="dxa"/>
              <w:left w:w="110" w:type="dxa"/>
              <w:right w:w="110" w:type="dxa"/>
            </w:tcMar>
            <w:shd w:fill="243746"/>
          </w:tcPr>
          <w:p>
            <w:pPr>
              <w:keepNext/>
              <w:spacing w:after="0" w:line="280" w:lineRule="exact"/>
            </w:pPr>
            <w:r>
              <w:rPr>
                <w:b/>
                <w:color w:val="FFFFFF"/>
                <w:sz w:val="19"/>
              </w:rPr>
              <w:t>执行内容</w:t>
            </w:r>
          </w:p>
        </w:tc>
      </w:tr>
      <w:tr>
        <w:trPr>
          <w:cantSplit/>
        </w:trPr>
        <w:tc>
          <w:tcPr>
            <w:tcW w:type="dxa" w:w="1701"/>
            <w:vAlign w:val="center"/>
            <w:tcMar>
              <w:top w:w="85" w:type="dxa"/>
              <w:bottom w:w="85" w:type="dxa"/>
              <w:left w:w="110" w:type="dxa"/>
              <w:right w:w="110" w:type="dxa"/>
            </w:tcMar>
            <w:shd w:fill="FFFFFF"/>
          </w:tcPr>
          <w:p>
            <w:pPr>
              <w:keepNext w:val="0"/>
              <w:spacing w:after="0" w:line="280" w:lineRule="exact"/>
              <w:jc w:val="center"/>
            </w:pPr>
            <w:r>
              <w:rPr>
                <w:sz w:val="19"/>
              </w:rPr>
              <w:t>准备样本</w:t>
            </w:r>
          </w:p>
        </w:tc>
        <w:tc>
          <w:tcPr>
            <w:tcW w:type="dxa" w:w="7937"/>
            <w:vAlign w:val="center"/>
            <w:tcMar>
              <w:top w:w="85" w:type="dxa"/>
              <w:bottom w:w="85" w:type="dxa"/>
              <w:left w:w="110" w:type="dxa"/>
              <w:right w:w="110" w:type="dxa"/>
            </w:tcMar>
            <w:shd w:fill="FFFFFF"/>
          </w:tcPr>
          <w:p>
            <w:pPr>
              <w:keepNext w:val="0"/>
              <w:spacing w:after="0" w:line="280" w:lineRule="exact"/>
            </w:pPr>
            <w:r>
              <w:rPr>
                <w:sz w:val="19"/>
              </w:rPr>
              <w:t>覆盖异常对象、一般可序列化对象、引用共享、数组、委托、脚本自定义类型及暂停恢复；标出哪些路径确实经过旧编码。</w:t>
            </w:r>
          </w:p>
        </w:tc>
      </w:tr>
      <w:tr>
        <w:trPr>
          <w:cantSplit/>
        </w:trPr>
        <w:tc>
          <w:tcPr>
            <w:tcW w:type="dxa" w:w="1701"/>
            <w:vAlign w:val="center"/>
            <w:tcMar>
              <w:top w:w="85" w:type="dxa"/>
              <w:bottom w:w="85" w:type="dxa"/>
              <w:left w:w="110" w:type="dxa"/>
              <w:right w:w="110" w:type="dxa"/>
            </w:tcMar>
            <w:shd w:fill="F3F6F8"/>
          </w:tcPr>
          <w:p>
            <w:pPr>
              <w:keepNext w:val="0"/>
              <w:spacing w:after="0" w:line="280" w:lineRule="exact"/>
              <w:jc w:val="center"/>
            </w:pPr>
            <w:r>
              <w:rPr>
                <w:sz w:val="19"/>
              </w:rPr>
              <w:t>定义新格式</w:t>
            </w:r>
          </w:p>
        </w:tc>
        <w:tc>
          <w:tcPr>
            <w:tcW w:type="dxa" w:w="7937"/>
            <w:vAlign w:val="center"/>
            <w:tcMar>
              <w:top w:w="85" w:type="dxa"/>
              <w:bottom w:w="85" w:type="dxa"/>
              <w:left w:w="110" w:type="dxa"/>
              <w:right w:w="110" w:type="dxa"/>
            </w:tcMar>
            <w:shd w:fill="F3F6F8"/>
          </w:tcPr>
          <w:p>
            <w:pPr>
              <w:keepNext w:val="0"/>
              <w:spacing w:after="0" w:line="280" w:lineRule="exact"/>
            </w:pPr>
            <w:r>
              <w:rPr>
                <w:sz w:val="19"/>
              </w:rPr>
              <w:t>为格式增加版本标记，列出允许的数据类型、字段和长度限制；用明确的异常记录表达必要状态，避免任意类型自动实例化。</w:t>
            </w:r>
          </w:p>
        </w:tc>
      </w:tr>
      <w:tr>
        <w:trPr>
          <w:cantSplit/>
        </w:trPr>
        <w:tc>
          <w:tcPr>
            <w:tcW w:type="dxa" w:w="1701"/>
            <w:vAlign w:val="center"/>
            <w:tcMar>
              <w:top w:w="85" w:type="dxa"/>
              <w:bottom w:w="85" w:type="dxa"/>
              <w:left w:w="110" w:type="dxa"/>
              <w:right w:w="110" w:type="dxa"/>
            </w:tcMar>
            <w:shd w:fill="FFFFFF"/>
          </w:tcPr>
          <w:p>
            <w:pPr>
              <w:keepNext w:val="0"/>
              <w:spacing w:after="0" w:line="280" w:lineRule="exact"/>
              <w:jc w:val="center"/>
            </w:pPr>
            <w:r>
              <w:rPr>
                <w:sz w:val="19"/>
              </w:rPr>
              <w:t>建立迁移工具</w:t>
            </w:r>
          </w:p>
        </w:tc>
        <w:tc>
          <w:tcPr>
            <w:tcW w:type="dxa" w:w="7937"/>
            <w:vAlign w:val="center"/>
            <w:tcMar>
              <w:top w:w="85" w:type="dxa"/>
              <w:bottom w:w="85" w:type="dxa"/>
              <w:left w:w="110" w:type="dxa"/>
              <w:right w:w="110" w:type="dxa"/>
            </w:tcMar>
            <w:shd w:fill="FFFFFF"/>
          </w:tcPr>
          <w:p>
            <w:pPr>
              <w:keepNext w:val="0"/>
              <w:spacing w:after="0" w:line="280" w:lineRule="exact"/>
            </w:pPr>
            <w:r>
              <w:rPr>
                <w:sz w:val="19"/>
              </w:rPr>
              <w:t>识别旧状态，转换到新状态副本，记录成功和不支持项；可以评估安全读取 NRBF 的方案，不能假定工具能自动还原全部脚本语义。</w:t>
            </w:r>
          </w:p>
        </w:tc>
      </w:tr>
      <w:tr>
        <w:trPr>
          <w:cantSplit/>
        </w:trPr>
        <w:tc>
          <w:tcPr>
            <w:tcW w:type="dxa" w:w="1701"/>
            <w:vAlign w:val="center"/>
            <w:tcMar>
              <w:top w:w="85" w:type="dxa"/>
              <w:bottom w:w="85" w:type="dxa"/>
              <w:left w:w="110" w:type="dxa"/>
              <w:right w:w="110" w:type="dxa"/>
            </w:tcMar>
            <w:shd w:fill="F3F6F8"/>
          </w:tcPr>
          <w:p>
            <w:pPr>
              <w:keepNext w:val="0"/>
              <w:spacing w:after="0" w:line="280" w:lineRule="exact"/>
              <w:jc w:val="center"/>
            </w:pPr>
            <w:r>
              <w:rPr>
                <w:sz w:val="19"/>
              </w:rPr>
              <w:t>验证语义</w:t>
            </w:r>
          </w:p>
        </w:tc>
        <w:tc>
          <w:tcPr>
            <w:tcW w:type="dxa" w:w="7937"/>
            <w:vAlign w:val="center"/>
            <w:tcMar>
              <w:top w:w="85" w:type="dxa"/>
              <w:bottom w:w="85" w:type="dxa"/>
              <w:left w:w="110" w:type="dxa"/>
              <w:right w:w="110" w:type="dxa"/>
            </w:tcMar>
            <w:shd w:fill="F3F6F8"/>
          </w:tcPr>
          <w:p>
            <w:pPr>
              <w:keepNext w:val="0"/>
              <w:spacing w:after="0" w:line="280" w:lineRule="exact"/>
            </w:pPr>
            <w:r>
              <w:rPr>
                <w:sz w:val="19"/>
              </w:rPr>
              <w:t>比较恢复后的变量、等待事件、异常处理和后续执行；损坏、截断或未知版本应明确失败，不静默重置脚本。</w:t>
            </w:r>
          </w:p>
        </w:tc>
      </w:tr>
      <w:tr>
        <w:trPr>
          <w:cantSplit/>
        </w:trPr>
        <w:tc>
          <w:tcPr>
            <w:tcW w:type="dxa" w:w="1701"/>
            <w:vAlign w:val="center"/>
            <w:tcMar>
              <w:top w:w="85" w:type="dxa"/>
              <w:bottom w:w="85" w:type="dxa"/>
              <w:left w:w="110" w:type="dxa"/>
              <w:right w:w="110" w:type="dxa"/>
            </w:tcMar>
            <w:shd w:fill="FFFFFF"/>
          </w:tcPr>
          <w:p>
            <w:pPr>
              <w:keepNext w:val="0"/>
              <w:spacing w:after="0" w:line="280" w:lineRule="exact"/>
              <w:jc w:val="center"/>
            </w:pPr>
            <w:r>
              <w:rPr>
                <w:sz w:val="19"/>
              </w:rPr>
              <w:t>安排切换与回退</w:t>
            </w:r>
          </w:p>
        </w:tc>
        <w:tc>
          <w:tcPr>
            <w:tcW w:type="dxa" w:w="7937"/>
            <w:vAlign w:val="center"/>
            <w:tcMar>
              <w:top w:w="85" w:type="dxa"/>
              <w:bottom w:w="85" w:type="dxa"/>
              <w:left w:w="110" w:type="dxa"/>
              <w:right w:w="110" w:type="dxa"/>
            </w:tcMar>
            <w:shd w:fill="FFFFFF"/>
          </w:tcPr>
          <w:p>
            <w:pPr>
              <w:keepNext w:val="0"/>
              <w:spacing w:after="0" w:line="280" w:lineRule="exact"/>
            </w:pPr>
            <w:r>
              <w:rPr>
                <w:sz w:val="19"/>
              </w:rPr>
              <w:t>保留旧状态原件和配套程序；新版本开始写入新格式前，确认失败恢复流程，避免旧程序直接读取不认识的新状态。</w:t>
            </w:r>
          </w:p>
        </w:tc>
      </w:tr>
    </w:tbl>
    <w:p>
      <w:pPr>
        <w:spacing w:after="20" w:before="0" w:line="240" w:lineRule="auto"/>
      </w:pPr>
      <w:r>
        <w:rPr>
          <w:sz w:val="4"/>
        </w:rPr>
      </w:r>
    </w:p>
    <w:p>
      <w:r>
        <w:rPr>
          <w:b w:val="0"/>
        </w:rPr>
        <w:t>版本化格式、对象映射和迁移策略需要根据样本确定。保留不受支持的 BinaryFormatter 兼容包不应作为现代化完成标准；无法转换的状态必须单独处理，不能用“脚本重新启动”替代原状态恢复要求。</w:t>
      </w:r>
    </w:p>
    <w:p>
      <w:r>
        <w:rPr>
          <w:b/>
        </w:rPr>
        <w:t>完成条件：目标运行时上的基础功能与兼容矩阵通过，代表性旧状态可恢复，原生组件运行正确，并完成一次“旧版备份—升级—新版本运行—按约定回退”的演练。</w:t>
      </w:r>
    </w:p>
    <w:p>
      <w:r>
        <w:br w:type="page"/>
      </w:r>
    </w:p>
    <w:p>
      <w:pPr>
        <w:pStyle w:val="Heading1"/>
      </w:pPr>
      <w:r>
        <w:t>按业务用例拆分核心代码</w:t>
      </w:r>
    </w:p>
    <w:p>
      <w:r>
        <w:rPr>
          <w:b w:val="0"/>
        </w:rPr>
        <w:t>优先按可验证的业务行为拆职责。例如 NPC 移动涉及输入、身份和归属检查、场景调度、移动执行及结果反馈；把这些边界拆清楚，比单纯把 Scene.cs 分成多个文件更有价值。</w:t>
      </w:r>
    </w:p>
    <w:p>
      <w:pPr>
        <w:pStyle w:val="Heading2"/>
      </w:pPr>
      <w:r>
        <w:t>建议建立的组件边界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458"/>
        <w:gridCol w:w="3912"/>
      </w:tblGrid>
      <w:tr>
        <w:trPr>
          <w:cantSplit/>
          <w:tblHeader/>
        </w:trPr>
        <w:tc>
          <w:tcPr>
            <w:tcW w:type="dxa" w:w="2268"/>
            <w:vAlign w:val="center"/>
            <w:tcMar>
              <w:top w:w="85" w:type="dxa"/>
              <w:bottom w:w="85" w:type="dxa"/>
              <w:left w:w="110" w:type="dxa"/>
              <w:right w:w="110" w:type="dxa"/>
            </w:tcMar>
            <w:shd w:fill="243746"/>
          </w:tcPr>
          <w:p>
            <w:pPr>
              <w:keepNext/>
              <w:spacing w:after="0" w:line="280" w:lineRule="exact"/>
              <w:jc w:val="center"/>
            </w:pPr>
            <w:r>
              <w:rPr>
                <w:b/>
                <w:color w:val="FFFFFF"/>
                <w:sz w:val="19"/>
              </w:rPr>
              <w:t>组件</w:t>
            </w:r>
          </w:p>
        </w:tc>
        <w:tc>
          <w:tcPr>
            <w:tcW w:type="dxa" w:w="3458"/>
            <w:vAlign w:val="center"/>
            <w:tcMar>
              <w:top w:w="85" w:type="dxa"/>
              <w:bottom w:w="85" w:type="dxa"/>
              <w:left w:w="110" w:type="dxa"/>
              <w:right w:w="110" w:type="dxa"/>
            </w:tcMar>
            <w:shd w:fill="243746"/>
          </w:tcPr>
          <w:p>
            <w:pPr>
              <w:keepNext/>
              <w:spacing w:after="0" w:line="280" w:lineRule="exact"/>
            </w:pPr>
            <w:r>
              <w:rPr>
                <w:b/>
                <w:color w:val="FFFFFF"/>
                <w:sz w:val="19"/>
              </w:rPr>
              <w:t>职责</w:t>
            </w:r>
          </w:p>
        </w:tc>
        <w:tc>
          <w:tcPr>
            <w:tcW w:type="dxa" w:w="3912"/>
            <w:vAlign w:val="center"/>
            <w:tcMar>
              <w:top w:w="85" w:type="dxa"/>
              <w:bottom w:w="85" w:type="dxa"/>
              <w:left w:w="110" w:type="dxa"/>
              <w:right w:w="110" w:type="dxa"/>
            </w:tcMar>
            <w:shd w:fill="243746"/>
          </w:tcPr>
          <w:p>
            <w:pPr>
              <w:keepNext/>
              <w:spacing w:after="0" w:line="280" w:lineRule="exact"/>
            </w:pPr>
            <w:r>
              <w:rPr>
                <w:b/>
                <w:color w:val="FFFFFF"/>
                <w:sz w:val="19"/>
              </w:rPr>
              <w:t>依赖限制</w:t>
            </w:r>
          </w:p>
        </w:tc>
      </w:tr>
      <w:tr>
        <w:trPr>
          <w:cantSplit/>
        </w:trPr>
        <w:tc>
          <w:tcPr>
            <w:tcW w:type="dxa" w:w="2268"/>
            <w:vAlign w:val="center"/>
            <w:tcMar>
              <w:top w:w="85" w:type="dxa"/>
              <w:bottom w:w="85" w:type="dxa"/>
              <w:left w:w="110" w:type="dxa"/>
              <w:right w:w="110" w:type="dxa"/>
            </w:tcMar>
            <w:shd w:fill="FFFFFF"/>
          </w:tcPr>
          <w:p>
            <w:pPr>
              <w:keepNext w:val="0"/>
              <w:spacing w:after="0" w:line="280" w:lineRule="exact"/>
              <w:jc w:val="center"/>
            </w:pPr>
            <w:r>
              <w:rPr>
                <w:sz w:val="19"/>
              </w:rPr>
              <w:t>World.Contracts</w:t>
            </w:r>
          </w:p>
        </w:tc>
        <w:tc>
          <w:tcPr>
            <w:tcW w:type="dxa" w:w="3458"/>
            <w:vAlign w:val="center"/>
            <w:tcMar>
              <w:top w:w="85" w:type="dxa"/>
              <w:bottom w:w="85" w:type="dxa"/>
              <w:left w:w="110" w:type="dxa"/>
              <w:right w:w="110" w:type="dxa"/>
            </w:tcMar>
            <w:shd w:fill="FFFFFF"/>
          </w:tcPr>
          <w:p>
            <w:pPr>
              <w:keepNext w:val="0"/>
              <w:spacing w:after="0" w:line="280" w:lineRule="exact"/>
            </w:pPr>
            <w:r>
              <w:rPr>
                <w:sz w:val="19"/>
              </w:rPr>
              <w:t>观察、命令、结果、错误码及版本。</w:t>
            </w:r>
          </w:p>
        </w:tc>
        <w:tc>
          <w:tcPr>
            <w:tcW w:type="dxa" w:w="3912"/>
            <w:vAlign w:val="center"/>
            <w:tcMar>
              <w:top w:w="85" w:type="dxa"/>
              <w:bottom w:w="85" w:type="dxa"/>
              <w:left w:w="110" w:type="dxa"/>
              <w:right w:w="110" w:type="dxa"/>
            </w:tcMar>
            <w:shd w:fill="FFFFFF"/>
          </w:tcPr>
          <w:p>
            <w:pPr>
              <w:keepNext w:val="0"/>
              <w:spacing w:after="0" w:line="280" w:lineRule="exact"/>
            </w:pPr>
            <w:r>
              <w:rPr>
                <w:sz w:val="19"/>
              </w:rPr>
              <w:t>简单数据对象；不暴露 Scene、ScenePresence、IClientAPI 或 OpenMetaverse 对象图。</w:t>
            </w:r>
          </w:p>
        </w:tc>
      </w:tr>
      <w:tr>
        <w:trPr>
          <w:cantSplit/>
        </w:trPr>
        <w:tc>
          <w:tcPr>
            <w:tcW w:type="dxa" w:w="2268"/>
            <w:vAlign w:val="center"/>
            <w:tcMar>
              <w:top w:w="85" w:type="dxa"/>
              <w:bottom w:w="85" w:type="dxa"/>
              <w:left w:w="110" w:type="dxa"/>
              <w:right w:w="110" w:type="dxa"/>
            </w:tcMar>
            <w:shd w:fill="F3F6F8"/>
          </w:tcPr>
          <w:p>
            <w:pPr>
              <w:keepNext w:val="0"/>
              <w:spacing w:after="0" w:line="280" w:lineRule="exact"/>
              <w:jc w:val="center"/>
            </w:pPr>
            <w:r>
              <w:rPr>
                <w:sz w:val="19"/>
              </w:rPr>
              <w:t>World.Application</w:t>
            </w:r>
          </w:p>
        </w:tc>
        <w:tc>
          <w:tcPr>
            <w:tcW w:type="dxa" w:w="3458"/>
            <w:vAlign w:val="center"/>
            <w:tcMar>
              <w:top w:w="85" w:type="dxa"/>
              <w:bottom w:w="85" w:type="dxa"/>
              <w:left w:w="110" w:type="dxa"/>
              <w:right w:w="110" w:type="dxa"/>
            </w:tcMar>
            <w:shd w:fill="F3F6F8"/>
          </w:tcPr>
          <w:p>
            <w:pPr>
              <w:keepNext w:val="0"/>
              <w:spacing w:after="0" w:line="280" w:lineRule="exact"/>
            </w:pPr>
            <w:r>
              <w:rPr>
                <w:sz w:val="19"/>
              </w:rPr>
              <w:t>用例校验、业务规则、执行接口和结果处理。</w:t>
            </w:r>
          </w:p>
        </w:tc>
        <w:tc>
          <w:tcPr>
            <w:tcW w:type="dxa" w:w="3912"/>
            <w:vAlign w:val="center"/>
            <w:tcMar>
              <w:top w:w="85" w:type="dxa"/>
              <w:bottom w:w="85" w:type="dxa"/>
              <w:left w:w="110" w:type="dxa"/>
              <w:right w:w="110" w:type="dxa"/>
            </w:tcMar>
            <w:shd w:fill="F3F6F8"/>
          </w:tcPr>
          <w:p>
            <w:pPr>
              <w:keepNext w:val="0"/>
              <w:spacing w:after="0" w:line="280" w:lineRule="exact"/>
            </w:pPr>
            <w:r>
              <w:rPr>
                <w:sz w:val="19"/>
              </w:rPr>
              <w:t>依赖契约与窄接口，能够使用模拟实现测试。</w:t>
            </w:r>
          </w:p>
        </w:tc>
      </w:tr>
      <w:tr>
        <w:trPr>
          <w:cantSplit/>
        </w:trPr>
        <w:tc>
          <w:tcPr>
            <w:tcW w:type="dxa" w:w="2268"/>
            <w:vAlign w:val="center"/>
            <w:tcMar>
              <w:top w:w="85" w:type="dxa"/>
              <w:bottom w:w="85" w:type="dxa"/>
              <w:left w:w="110" w:type="dxa"/>
              <w:right w:w="110" w:type="dxa"/>
            </w:tcMar>
            <w:shd w:fill="FFFFFF"/>
          </w:tcPr>
          <w:p>
            <w:pPr>
              <w:keepNext w:val="0"/>
              <w:spacing w:after="0" w:line="280" w:lineRule="exact"/>
              <w:jc w:val="center"/>
            </w:pPr>
            <w:r>
              <w:rPr>
                <w:sz w:val="19"/>
              </w:rPr>
              <w:t>OpenSim 适配模块</w:t>
            </w:r>
          </w:p>
        </w:tc>
        <w:tc>
          <w:tcPr>
            <w:tcW w:type="dxa" w:w="3458"/>
            <w:vAlign w:val="center"/>
            <w:tcMar>
              <w:top w:w="85" w:type="dxa"/>
              <w:bottom w:w="85" w:type="dxa"/>
              <w:left w:w="110" w:type="dxa"/>
              <w:right w:w="110" w:type="dxa"/>
            </w:tcMar>
            <w:shd w:fill="FFFFFF"/>
          </w:tcPr>
          <w:p>
            <w:pPr>
              <w:keepNext w:val="0"/>
              <w:spacing w:after="0" w:line="280" w:lineRule="exact"/>
            </w:pPr>
            <w:r>
              <w:rPr>
                <w:sz w:val="19"/>
              </w:rPr>
              <w:t>将现有引擎和 INPCModule 等接口接到用例层。</w:t>
            </w:r>
          </w:p>
        </w:tc>
        <w:tc>
          <w:tcPr>
            <w:tcW w:type="dxa" w:w="3912"/>
            <w:vAlign w:val="center"/>
            <w:tcMar>
              <w:top w:w="85" w:type="dxa"/>
              <w:bottom w:w="85" w:type="dxa"/>
              <w:left w:w="110" w:type="dxa"/>
              <w:right w:w="110" w:type="dxa"/>
            </w:tcMar>
            <w:shd w:fill="FFFFFF"/>
          </w:tcPr>
          <w:p>
            <w:pPr>
              <w:keepNext w:val="0"/>
              <w:spacing w:after="0" w:line="280" w:lineRule="exact"/>
            </w:pPr>
            <w:r>
              <w:rPr>
                <w:sz w:val="19"/>
              </w:rPr>
              <w:t>集中处理类型转换、生命周期及场景调度；区域对象不越过边界。</w:t>
            </w:r>
          </w:p>
        </w:tc>
      </w:tr>
      <w:tr>
        <w:trPr>
          <w:cantSplit/>
        </w:trPr>
        <w:tc>
          <w:tcPr>
            <w:tcW w:type="dxa" w:w="2268"/>
            <w:vAlign w:val="center"/>
            <w:tcMar>
              <w:top w:w="85" w:type="dxa"/>
              <w:bottom w:w="85" w:type="dxa"/>
              <w:left w:w="110" w:type="dxa"/>
              <w:right w:w="110" w:type="dxa"/>
            </w:tcMar>
            <w:shd w:fill="F3F6F8"/>
          </w:tcPr>
          <w:p>
            <w:pPr>
              <w:keepNext w:val="0"/>
              <w:spacing w:after="0" w:line="280" w:lineRule="exact"/>
              <w:jc w:val="center"/>
            </w:pPr>
            <w:r>
              <w:rPr>
                <w:sz w:val="19"/>
              </w:rPr>
              <w:t>基础设施适配</w:t>
            </w:r>
          </w:p>
        </w:tc>
        <w:tc>
          <w:tcPr>
            <w:tcW w:type="dxa" w:w="3458"/>
            <w:vAlign w:val="center"/>
            <w:tcMar>
              <w:top w:w="85" w:type="dxa"/>
              <w:bottom w:w="85" w:type="dxa"/>
              <w:left w:w="110" w:type="dxa"/>
              <w:right w:w="110" w:type="dxa"/>
            </w:tcMar>
            <w:shd w:fill="F3F6F8"/>
          </w:tcPr>
          <w:p>
            <w:pPr>
              <w:keepNext w:val="0"/>
              <w:spacing w:after="0" w:line="280" w:lineRule="exact"/>
            </w:pPr>
            <w:r>
              <w:rPr>
                <w:sz w:val="19"/>
              </w:rPr>
              <w:t>配置、日志、HTTP、存储和计时实现。</w:t>
            </w:r>
          </w:p>
        </w:tc>
        <w:tc>
          <w:tcPr>
            <w:tcW w:type="dxa" w:w="3912"/>
            <w:vAlign w:val="center"/>
            <w:tcMar>
              <w:top w:w="85" w:type="dxa"/>
              <w:bottom w:w="85" w:type="dxa"/>
              <w:left w:w="110" w:type="dxa"/>
              <w:right w:w="110" w:type="dxa"/>
            </w:tcMar>
            <w:shd w:fill="F3F6F8"/>
          </w:tcPr>
          <w:p>
            <w:pPr>
              <w:keepNext w:val="0"/>
              <w:spacing w:after="0" w:line="280" w:lineRule="exact"/>
            </w:pPr>
            <w:r>
              <w:rPr>
                <w:sz w:val="19"/>
              </w:rPr>
              <w:t>以需要的接口提供功能，避免业务代码直接读取全局配置。</w:t>
            </w:r>
          </w:p>
        </w:tc>
      </w:tr>
      <w:tr>
        <w:trPr>
          <w:cantSplit/>
        </w:trPr>
        <w:tc>
          <w:tcPr>
            <w:tcW w:type="dxa" w:w="2268"/>
            <w:vAlign w:val="center"/>
            <w:tcMar>
              <w:top w:w="85" w:type="dxa"/>
              <w:bottom w:w="85" w:type="dxa"/>
              <w:left w:w="110" w:type="dxa"/>
              <w:right w:w="110" w:type="dxa"/>
            </w:tcMar>
            <w:shd w:fill="FFFFFF"/>
          </w:tcPr>
          <w:p>
            <w:pPr>
              <w:keepNext w:val="0"/>
              <w:spacing w:after="0" w:line="280" w:lineRule="exact"/>
              <w:jc w:val="center"/>
            </w:pPr>
            <w:r>
              <w:rPr>
                <w:sz w:val="19"/>
              </w:rPr>
              <w:t>模拟调用端与测试</w:t>
            </w:r>
          </w:p>
        </w:tc>
        <w:tc>
          <w:tcPr>
            <w:tcW w:type="dxa" w:w="3458"/>
            <w:vAlign w:val="center"/>
            <w:tcMar>
              <w:top w:w="85" w:type="dxa"/>
              <w:bottom w:w="85" w:type="dxa"/>
              <w:left w:w="110" w:type="dxa"/>
              <w:right w:w="110" w:type="dxa"/>
            </w:tcMar>
            <w:shd w:fill="FFFFFF"/>
          </w:tcPr>
          <w:p>
            <w:pPr>
              <w:keepNext w:val="0"/>
              <w:spacing w:after="0" w:line="280" w:lineRule="exact"/>
            </w:pPr>
            <w:r>
              <w:rPr>
                <w:sz w:val="19"/>
              </w:rPr>
              <w:t>用固定输入验证查询和动作。</w:t>
            </w:r>
          </w:p>
        </w:tc>
        <w:tc>
          <w:tcPr>
            <w:tcW w:type="dxa" w:w="3912"/>
            <w:vAlign w:val="center"/>
            <w:tcMar>
              <w:top w:w="85" w:type="dxa"/>
              <w:bottom w:w="85" w:type="dxa"/>
              <w:left w:w="110" w:type="dxa"/>
              <w:right w:w="110" w:type="dxa"/>
            </w:tcMar>
            <w:shd w:fill="FFFFFF"/>
          </w:tcPr>
          <w:p>
            <w:pPr>
              <w:keepNext w:val="0"/>
              <w:spacing w:after="0" w:line="280" w:lineRule="exact"/>
            </w:pPr>
            <w:r>
              <w:rPr>
                <w:sz w:val="19"/>
              </w:rPr>
              <w:t>通过契约访问，不引用场景内部实现；后续可替换成真实 Agent.Host。</w:t>
            </w:r>
          </w:p>
        </w:tc>
      </w:tr>
    </w:tbl>
    <w:p>
      <w:pPr>
        <w:spacing w:after="20" w:before="0" w:line="240" w:lineRule="auto"/>
      </w:pPr>
      <w:r>
        <w:rPr>
          <w:sz w:val="4"/>
        </w:rPr>
      </w:r>
    </w:p>
    <w:p>
      <w:pPr>
        <w:pStyle w:val="Heading2"/>
      </w:pPr>
      <w:r>
        <w:t>以 NPC 移动为首个改造用例</w:t>
      </w:r>
    </w:p>
    <w:p>
      <w:pPr>
        <w:ind w:left="159" w:hanging="159"/>
      </w:pPr>
      <w:r>
        <w:rPr>
          <w:b/>
        </w:rPr>
        <w:t xml:space="preserve">• </w:t>
      </w:r>
      <w:r>
        <w:t>记录 OSSL_Api.osNpcMoveToTarget、权限检查和 NPCModule.MoveToTarget 的当前调用关系，准备允许与拒绝、无效角色、越界和停止移动用例。</w:t>
      </w:r>
    </w:p>
    <w:p>
      <w:pPr>
        <w:ind w:left="159" w:hanging="159"/>
      </w:pPr>
      <w:r>
        <w:rPr>
          <w:b/>
        </w:rPr>
        <w:t xml:space="preserve">• </w:t>
      </w:r>
      <w:r>
        <w:t>定义请求与结果：commandId、区域、NPC、目标位置、截止时间；身份由认证或原入口上下文绑定，不能信任请求正文自报的所有者。</w:t>
      </w:r>
    </w:p>
    <w:p>
      <w:pPr>
        <w:ind w:left="159" w:hanging="159"/>
      </w:pPr>
      <w:r>
        <w:rPr>
          <w:b/>
        </w:rPr>
        <w:t xml:space="preserve">• </w:t>
      </w:r>
      <w:r>
        <w:t>提取 MoveNpc 用例和最小执行接口，把归属检查、参数验证及结果语义集中起来。保持原有威胁等级、脚本权限和 NPC 权限检查的责任。</w:t>
      </w:r>
    </w:p>
    <w:p>
      <w:pPr>
        <w:ind w:left="159" w:hanging="159"/>
      </w:pPr>
      <w:r>
        <w:rPr>
          <w:b/>
        </w:rPr>
        <w:t xml:space="preserve">• </w:t>
      </w:r>
      <w:r>
        <w:t>在区域适配层调用现有 NPC 能力，按核实后的线程规则调度；用“已接受、执行中、已到达、失败、超时”表达不同阶段。</w:t>
      </w:r>
    </w:p>
    <w:p>
      <w:pPr>
        <w:ind w:left="159" w:hanging="159"/>
      </w:pPr>
      <w:r>
        <w:rPr>
          <w:b/>
        </w:rPr>
        <w:t xml:space="preserve">• </w:t>
      </w:r>
      <w:r>
        <w:t>先让新测试入口使用用例服务，再逐项接入原入口；兼容测试通过后，清理已被替代的重复代码。</w:t>
      </w:r>
    </w:p>
    <w:p>
      <w:pPr>
        <w:pStyle w:val="Heading2"/>
      </w:pPr>
      <w:r>
        <w:t>从首个用例扩展到其他模块</w:t>
      </w:r>
    </w:p>
    <w:p>
      <w:r>
        <w:rPr>
          <w:b w:val="0"/>
        </w:rPr>
        <w:t>按“NPC 与聊天观察 → 场景查询和对象操作 → 资产与库存用例 → 数据访问”的顺序逐批扩展。协议、脚本引擎和物理的大幅重写单独立项；运行时兼容所必需的修复仍在当前升级范围内完成。</w:t>
      </w:r>
    </w:p>
    <w:p>
      <w:r>
        <w:rPr>
          <w:b w:val="0"/>
        </w:rPr>
        <w:t>采用现有 INonSharedRegionModule、IRegionModuleBase 和服务接口作为迁移入口。Initialise、AddRegion、RegionLoaded、RemoveRegion、Close 分别明确资源获得、接口查询、订阅及释放时机。[1]</w:t>
      </w:r>
    </w:p>
    <w:p>
      <w:r>
        <w:br w:type="page"/>
      </w:r>
    </w:p>
    <w:p>
      <w:pPr>
        <w:pStyle w:val="Heading1"/>
      </w:pPr>
      <w:r>
        <w:t>现代 CSharp 写法与并发边界</w:t>
      </w:r>
    </w:p>
    <w:p>
      <w:r>
        <w:rPr>
          <w:b w:val="0"/>
        </w:rPr>
        <w:t>C# 代码现代化应改善可读性、资源管理和错误处理。先应用到新增与正在改造的模块，避免全库格式改写掩盖行为变化。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98"/>
        <w:gridCol w:w="4025"/>
      </w:tblGrid>
      <w:tr>
        <w:trPr>
          <w:cantSplit/>
          <w:tblHeader/>
        </w:trPr>
        <w:tc>
          <w:tcPr>
            <w:tcW w:type="dxa" w:w="1814"/>
            <w:vAlign w:val="center"/>
            <w:tcMar>
              <w:top w:w="85" w:type="dxa"/>
              <w:bottom w:w="85" w:type="dxa"/>
              <w:left w:w="110" w:type="dxa"/>
              <w:right w:w="110" w:type="dxa"/>
            </w:tcMar>
            <w:shd w:fill="243746"/>
          </w:tcPr>
          <w:p>
            <w:pPr>
              <w:keepNext/>
              <w:spacing w:after="0" w:line="280" w:lineRule="exact"/>
              <w:jc w:val="center"/>
            </w:pPr>
            <w:r>
              <w:rPr>
                <w:b/>
                <w:color w:val="FFFFFF"/>
                <w:sz w:val="19"/>
              </w:rPr>
              <w:t>改造项</w:t>
            </w:r>
          </w:p>
        </w:tc>
        <w:tc>
          <w:tcPr>
            <w:tcW w:type="dxa" w:w="3798"/>
            <w:vAlign w:val="center"/>
            <w:tcMar>
              <w:top w:w="85" w:type="dxa"/>
              <w:bottom w:w="85" w:type="dxa"/>
              <w:left w:w="110" w:type="dxa"/>
              <w:right w:w="110" w:type="dxa"/>
            </w:tcMar>
            <w:shd w:fill="243746"/>
          </w:tcPr>
          <w:p>
            <w:pPr>
              <w:keepNext/>
              <w:spacing w:after="0" w:line="280" w:lineRule="exact"/>
            </w:pPr>
            <w:r>
              <w:rPr>
                <w:b/>
                <w:color w:val="FFFFFF"/>
                <w:sz w:val="19"/>
              </w:rPr>
              <w:t>采用方式</w:t>
            </w:r>
          </w:p>
        </w:tc>
        <w:tc>
          <w:tcPr>
            <w:tcW w:type="dxa" w:w="4025"/>
            <w:vAlign w:val="center"/>
            <w:tcMar>
              <w:top w:w="85" w:type="dxa"/>
              <w:bottom w:w="85" w:type="dxa"/>
              <w:left w:w="110" w:type="dxa"/>
              <w:right w:w="110" w:type="dxa"/>
            </w:tcMar>
            <w:shd w:fill="243746"/>
          </w:tcPr>
          <w:p>
            <w:pPr>
              <w:keepNext/>
              <w:spacing w:after="0" w:line="280" w:lineRule="exact"/>
            </w:pPr>
            <w:r>
              <w:rPr>
                <w:b/>
                <w:color w:val="FFFFFF"/>
                <w:sz w:val="19"/>
              </w:rPr>
              <w:t>需要保持的边界</w:t>
            </w:r>
          </w:p>
        </w:tc>
      </w:tr>
      <w:tr>
        <w:trPr>
          <w:cantSplit/>
        </w:trPr>
        <w:tc>
          <w:tcPr>
            <w:tcW w:type="dxa" w:w="1814"/>
            <w:vAlign w:val="center"/>
            <w:tcMar>
              <w:top w:w="85" w:type="dxa"/>
              <w:bottom w:w="85" w:type="dxa"/>
              <w:left w:w="110" w:type="dxa"/>
              <w:right w:w="110" w:type="dxa"/>
            </w:tcMar>
            <w:shd w:fill="FFFFFF"/>
          </w:tcPr>
          <w:p>
            <w:pPr>
              <w:keepNext w:val="0"/>
              <w:spacing w:after="0" w:line="280" w:lineRule="exact"/>
              <w:jc w:val="center"/>
            </w:pPr>
            <w:r>
              <w:rPr>
                <w:sz w:val="19"/>
              </w:rPr>
              <w:t>空值与数据对象</w:t>
            </w:r>
          </w:p>
        </w:tc>
        <w:tc>
          <w:tcPr>
            <w:tcW w:type="dxa" w:w="3798"/>
            <w:vAlign w:val="center"/>
            <w:tcMar>
              <w:top w:w="85" w:type="dxa"/>
              <w:bottom w:w="85" w:type="dxa"/>
              <w:left w:w="110" w:type="dxa"/>
              <w:right w:w="110" w:type="dxa"/>
            </w:tcMar>
            <w:shd w:fill="FFFFFF"/>
          </w:tcPr>
          <w:p>
            <w:pPr>
              <w:keepNext w:val="0"/>
              <w:spacing w:after="0" w:line="280" w:lineRule="exact"/>
            </w:pPr>
            <w:r>
              <w:rPr>
                <w:sz w:val="19"/>
              </w:rPr>
              <w:t>逐项目开启 nullable；契约采用明确 DTO，适合时使用 record。</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保留旧接口的空值语义；涉及反射和序列化时验证构造与属性行为。</w:t>
            </w:r>
          </w:p>
        </w:tc>
      </w:tr>
      <w:tr>
        <w:trPr>
          <w:cantSplit/>
        </w:trPr>
        <w:tc>
          <w:tcPr>
            <w:tcW w:type="dxa" w:w="1814"/>
            <w:vAlign w:val="center"/>
            <w:tcMar>
              <w:top w:w="85" w:type="dxa"/>
              <w:bottom w:w="85" w:type="dxa"/>
              <w:left w:w="110" w:type="dxa"/>
              <w:right w:w="110" w:type="dxa"/>
            </w:tcMar>
            <w:shd w:fill="F3F6F8"/>
          </w:tcPr>
          <w:p>
            <w:pPr>
              <w:keepNext w:val="0"/>
              <w:spacing w:after="0" w:line="280" w:lineRule="exact"/>
              <w:jc w:val="center"/>
            </w:pPr>
            <w:r>
              <w:rPr>
                <w:sz w:val="19"/>
              </w:rPr>
              <w:t>依赖与生命周期</w:t>
            </w:r>
          </w:p>
        </w:tc>
        <w:tc>
          <w:tcPr>
            <w:tcW w:type="dxa" w:w="3798"/>
            <w:vAlign w:val="center"/>
            <w:tcMar>
              <w:top w:w="85" w:type="dxa"/>
              <w:bottom w:w="85" w:type="dxa"/>
              <w:left w:w="110" w:type="dxa"/>
              <w:right w:w="110" w:type="dxa"/>
            </w:tcMar>
            <w:shd w:fill="F3F6F8"/>
          </w:tcPr>
          <w:p>
            <w:pPr>
              <w:keepNext w:val="0"/>
              <w:spacing w:after="0" w:line="280" w:lineRule="exact"/>
            </w:pPr>
            <w:r>
              <w:rPr>
                <w:sz w:val="19"/>
              </w:rPr>
              <w:t>构造函数显式传入窄接口；在模块装配处创建对象，区域资源按区域释放。</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避免把 Scene 或区域配置当作全局单例；先兼容现有插件装配。</w:t>
            </w:r>
          </w:p>
        </w:tc>
      </w:tr>
      <w:tr>
        <w:trPr>
          <w:cantSplit/>
        </w:trPr>
        <w:tc>
          <w:tcPr>
            <w:tcW w:type="dxa" w:w="1814"/>
            <w:vAlign w:val="center"/>
            <w:tcMar>
              <w:top w:w="85" w:type="dxa"/>
              <w:bottom w:w="85" w:type="dxa"/>
              <w:left w:w="110" w:type="dxa"/>
              <w:right w:w="110" w:type="dxa"/>
            </w:tcMar>
            <w:shd w:fill="FFFFFF"/>
          </w:tcPr>
          <w:p>
            <w:pPr>
              <w:keepNext w:val="0"/>
              <w:spacing w:after="0" w:line="280" w:lineRule="exact"/>
              <w:jc w:val="center"/>
            </w:pPr>
            <w:r>
              <w:rPr>
                <w:sz w:val="19"/>
              </w:rPr>
              <w:t>异步 I/O</w:t>
            </w:r>
          </w:p>
        </w:tc>
        <w:tc>
          <w:tcPr>
            <w:tcW w:type="dxa" w:w="3798"/>
            <w:vAlign w:val="center"/>
            <w:tcMar>
              <w:top w:w="85" w:type="dxa"/>
              <w:bottom w:w="85" w:type="dxa"/>
              <w:left w:w="110" w:type="dxa"/>
              <w:right w:w="110" w:type="dxa"/>
            </w:tcMar>
            <w:shd w:fill="FFFFFF"/>
          </w:tcPr>
          <w:p>
            <w:pPr>
              <w:keepNext w:val="0"/>
              <w:spacing w:after="0" w:line="280" w:lineRule="exact"/>
            </w:pPr>
            <w:r>
              <w:rPr>
                <w:sz w:val="19"/>
              </w:rPr>
              <w:t>在真正的网络和存储等待路径使用 async/await、CancellationToken。</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避免 .Result、.Wait() 和持锁 await；不要把整个模拟循环改成异步任务。</w:t>
            </w:r>
          </w:p>
        </w:tc>
      </w:tr>
      <w:tr>
        <w:trPr>
          <w:cantSplit/>
        </w:trPr>
        <w:tc>
          <w:tcPr>
            <w:tcW w:type="dxa" w:w="1814"/>
            <w:vAlign w:val="center"/>
            <w:tcMar>
              <w:top w:w="85" w:type="dxa"/>
              <w:bottom w:w="85" w:type="dxa"/>
              <w:left w:w="110" w:type="dxa"/>
              <w:right w:w="110" w:type="dxa"/>
            </w:tcMar>
            <w:shd w:fill="F3F6F8"/>
          </w:tcPr>
          <w:p>
            <w:pPr>
              <w:keepNext w:val="0"/>
              <w:spacing w:after="0" w:line="280" w:lineRule="exact"/>
              <w:jc w:val="center"/>
            </w:pPr>
            <w:r>
              <w:rPr>
                <w:sz w:val="19"/>
              </w:rPr>
              <w:t>资源与异常</w:t>
            </w:r>
          </w:p>
        </w:tc>
        <w:tc>
          <w:tcPr>
            <w:tcW w:type="dxa" w:w="3798"/>
            <w:vAlign w:val="center"/>
            <w:tcMar>
              <w:top w:w="85" w:type="dxa"/>
              <w:bottom w:w="85" w:type="dxa"/>
              <w:left w:w="110" w:type="dxa"/>
              <w:right w:w="110" w:type="dxa"/>
            </w:tcMar>
            <w:shd w:fill="F3F6F8"/>
          </w:tcPr>
          <w:p>
            <w:pPr>
              <w:keepNext w:val="0"/>
              <w:spacing w:after="0" w:line="280" w:lineRule="exact"/>
            </w:pPr>
            <w:r>
              <w:rPr>
                <w:sz w:val="19"/>
              </w:rPr>
              <w:t>明确 Dispose、取消和异常归属；预期失败使用明确结果类型。</w:t>
            </w:r>
          </w:p>
        </w:tc>
        <w:tc>
          <w:tcPr>
            <w:tcW w:type="dxa" w:w="4025"/>
            <w:vAlign w:val="center"/>
            <w:tcMar>
              <w:top w:w="85" w:type="dxa"/>
              <w:bottom w:w="85" w:type="dxa"/>
              <w:left w:w="110" w:type="dxa"/>
              <w:right w:w="110" w:type="dxa"/>
            </w:tcMar>
            <w:shd w:fill="F3F6F8"/>
          </w:tcPr>
          <w:p>
            <w:pPr>
              <w:keepNext w:val="0"/>
              <w:spacing w:after="0" w:line="280" w:lineRule="exact"/>
            </w:pPr>
            <w:r>
              <w:rPr>
                <w:sz w:val="19"/>
              </w:rPr>
              <w:t>保留原有错误语义；任务异常必须被观察和记录，避免失去执行结果。</w:t>
            </w:r>
          </w:p>
        </w:tc>
      </w:tr>
      <w:tr>
        <w:trPr>
          <w:cantSplit/>
        </w:trPr>
        <w:tc>
          <w:tcPr>
            <w:tcW w:type="dxa" w:w="1814"/>
            <w:vAlign w:val="center"/>
            <w:tcMar>
              <w:top w:w="85" w:type="dxa"/>
              <w:bottom w:w="85" w:type="dxa"/>
              <w:left w:w="110" w:type="dxa"/>
              <w:right w:w="110" w:type="dxa"/>
            </w:tcMar>
            <w:shd w:fill="FFFFFF"/>
          </w:tcPr>
          <w:p>
            <w:pPr>
              <w:keepNext w:val="0"/>
              <w:spacing w:after="0" w:line="280" w:lineRule="exact"/>
              <w:jc w:val="center"/>
            </w:pPr>
            <w:r>
              <w:rPr>
                <w:sz w:val="19"/>
              </w:rPr>
              <w:t>热点优化</w:t>
            </w:r>
          </w:p>
        </w:tc>
        <w:tc>
          <w:tcPr>
            <w:tcW w:type="dxa" w:w="3798"/>
            <w:vAlign w:val="center"/>
            <w:tcMar>
              <w:top w:w="85" w:type="dxa"/>
              <w:bottom w:w="85" w:type="dxa"/>
              <w:left w:w="110" w:type="dxa"/>
              <w:right w:w="110" w:type="dxa"/>
            </w:tcMar>
            <w:shd w:fill="FFFFFF"/>
          </w:tcPr>
          <w:p>
            <w:pPr>
              <w:keepNext w:val="0"/>
              <w:spacing w:after="0" w:line="280" w:lineRule="exact"/>
            </w:pPr>
            <w:r>
              <w:rPr>
                <w:sz w:val="19"/>
              </w:rPr>
              <w:t>先测量再调整分配、集合、算法与缓冲区使用。</w:t>
            </w:r>
          </w:p>
        </w:tc>
        <w:tc>
          <w:tcPr>
            <w:tcW w:type="dxa" w:w="4025"/>
            <w:vAlign w:val="center"/>
            <w:tcMar>
              <w:top w:w="85" w:type="dxa"/>
              <w:bottom w:w="85" w:type="dxa"/>
              <w:left w:w="110" w:type="dxa"/>
              <w:right w:w="110" w:type="dxa"/>
            </w:tcMar>
            <w:shd w:fill="FFFFFF"/>
          </w:tcPr>
          <w:p>
            <w:pPr>
              <w:keepNext w:val="0"/>
              <w:spacing w:after="0" w:line="280" w:lineRule="exact"/>
            </w:pPr>
            <w:r>
              <w:rPr>
                <w:sz w:val="19"/>
              </w:rPr>
              <w:t>不默认引入池化、unsafe、裁剪或 AOT；插件和反射能力需要单独兼容试验。</w:t>
            </w:r>
          </w:p>
        </w:tc>
      </w:tr>
    </w:tbl>
    <w:p>
      <w:pPr>
        <w:spacing w:after="20" w:before="0" w:line="240" w:lineRule="auto"/>
      </w:pPr>
      <w:r>
        <w:rPr>
          <w:sz w:val="4"/>
        </w:rPr>
      </w:r>
    </w:p>
    <w:p>
      <w:pPr>
        <w:pStyle w:val="Heading2"/>
      </w:pPr>
      <w:r>
        <w:t>世界事件和外部工作怎样分离</w:t>
      </w:r>
    </w:p>
    <w:p>
      <w:r>
        <w:rPr>
          <w:b w:val="0"/>
        </w:rPr>
        <w:t>EventManager.TriggerOnChatFromClient 同步调用订阅者。事件回调应只做快速过滤、必要的安全快照和非阻塞入队；不能在其中等待网络，也不能把可变的 Scene 对象交给后台任务任意读取。</w:t>
      </w:r>
    </w:p>
    <w:p>
      <w:r>
        <w:rPr>
          <w:b w:val="0"/>
        </w:rPr>
        <w:t>后台工作使用有界队列并设置最大等待时间。队列满时明确拒绝、合并或按预先定义的规则丢弃观察；命令不能静默丢失。使用 Channel 时显式选择满队列策略；事件线程不能为了等待队列空间而被阻塞。[11]</w:t>
      </w:r>
    </w:p>
    <w:p>
      <w:pPr>
        <w:pStyle w:val="Heading2"/>
      </w:pPr>
      <w:r>
        <w:t>返回命令怎样进入场景</w:t>
      </w:r>
    </w:p>
    <w:p>
      <w:r>
        <w:rPr>
          <w:b w:val="0"/>
        </w:rPr>
        <w:t>校验身份、区域、NPC 归属、参数、截止时间和命令编号，再按 NPC 管理动作顺序。具体调用线程应根据引擎要求验证；对需要场景线程执行的操作，限制每轮处理量，避免长操作占用整个更新周期。</w:t>
      </w:r>
    </w:p>
    <w:p>
      <w:r>
        <w:rPr>
          <w:b w:val="0"/>
        </w:rPr>
        <w:t>去重语义要覆盖失败与重启：仅存在内存中的 commandId 不能保证进程重启后不重复。对有持久影响的命令保存结果或实现可重放的幂等行为；对无法保证的情况明确返回未知状态并查询实际世界。</w:t>
      </w:r>
    </w:p>
    <w:p>
      <w:r>
        <w:rPr>
          <w:b w:val="0"/>
        </w:rPr>
        <w:t>区域卸载时取消等待任务、解除事件订阅、停止接收新命令并释放资源。使用区域实例标识或等价机制拒绝卸载后到达的旧结果，防止写入后来重新创建的区域。</w:t>
      </w:r>
    </w:p>
    <w:p>
      <w:r>
        <w:br w:type="page"/>
      </w:r>
    </w:p>
    <w:p>
      <w:pPr>
        <w:pStyle w:val="Heading1"/>
      </w:pPr>
      <w:r>
        <w:t>测试基线与迁移验证矩阵</w:t>
      </w:r>
    </w:p>
    <w:p>
      <w:r>
        <w:rPr>
          <w:b w:val="0"/>
        </w:rPr>
        <w:t>测试先保护现有行为，再验证新的边界。优先恢复能够直接约束本次改动的历史测试；对未能恢复的测试记录原因，不把未执行当作通过。每次库迁移和代码重构执行与其影响范围对应的验证。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969"/>
        <w:gridCol w:w="3742"/>
      </w:tblGrid>
      <w:tr>
        <w:trPr>
          <w:cantSplit/>
          <w:tblHeader/>
        </w:trPr>
        <w:tc>
          <w:tcPr>
            <w:tcW w:type="dxa" w:w="1928"/>
            <w:vAlign w:val="center"/>
            <w:tcMar>
              <w:top w:w="85" w:type="dxa"/>
              <w:bottom w:w="85" w:type="dxa"/>
              <w:left w:w="110" w:type="dxa"/>
              <w:right w:w="110" w:type="dxa"/>
            </w:tcMar>
            <w:shd w:fill="243746"/>
          </w:tcPr>
          <w:p>
            <w:pPr>
              <w:keepNext/>
              <w:spacing w:after="0" w:line="280" w:lineRule="exact"/>
              <w:jc w:val="center"/>
            </w:pPr>
            <w:r>
              <w:rPr>
                <w:b/>
                <w:color w:val="FFFFFF"/>
                <w:sz w:val="19"/>
              </w:rPr>
              <w:t>验证层次</w:t>
            </w:r>
          </w:p>
        </w:tc>
        <w:tc>
          <w:tcPr>
            <w:tcW w:type="dxa" w:w="3969"/>
            <w:vAlign w:val="center"/>
            <w:tcMar>
              <w:top w:w="85" w:type="dxa"/>
              <w:bottom w:w="85" w:type="dxa"/>
              <w:left w:w="110" w:type="dxa"/>
              <w:right w:w="110" w:type="dxa"/>
            </w:tcMar>
            <w:shd w:fill="243746"/>
          </w:tcPr>
          <w:p>
            <w:pPr>
              <w:keepNext/>
              <w:spacing w:after="0" w:line="280" w:lineRule="exact"/>
            </w:pPr>
            <w:r>
              <w:rPr>
                <w:b/>
                <w:color w:val="FFFFFF"/>
                <w:sz w:val="19"/>
              </w:rPr>
              <w:t>主要内容</w:t>
            </w:r>
          </w:p>
        </w:tc>
        <w:tc>
          <w:tcPr>
            <w:tcW w:type="dxa" w:w="3742"/>
            <w:vAlign w:val="center"/>
            <w:tcMar>
              <w:top w:w="85" w:type="dxa"/>
              <w:bottom w:w="85" w:type="dxa"/>
              <w:left w:w="110" w:type="dxa"/>
              <w:right w:w="110" w:type="dxa"/>
            </w:tcMar>
            <w:shd w:fill="243746"/>
          </w:tcPr>
          <w:p>
            <w:pPr>
              <w:keepNext/>
              <w:spacing w:after="0" w:line="280" w:lineRule="exact"/>
            </w:pPr>
            <w:r>
              <w:rPr>
                <w:b/>
                <w:color w:val="FFFFFF"/>
                <w:sz w:val="19"/>
              </w:rPr>
              <w:t>通过证据</w:t>
            </w:r>
          </w:p>
        </w:tc>
      </w:tr>
      <w:tr>
        <w:trPr>
          <w:cantSplit/>
        </w:trPr>
        <w:tc>
          <w:tcPr>
            <w:tcW w:type="dxa" w:w="1928"/>
            <w:vAlign w:val="center"/>
            <w:tcMar>
              <w:top w:w="85" w:type="dxa"/>
              <w:bottom w:w="85" w:type="dxa"/>
              <w:left w:w="110" w:type="dxa"/>
              <w:right w:w="110" w:type="dxa"/>
            </w:tcMar>
            <w:shd w:fill="FFFFFF"/>
          </w:tcPr>
          <w:p>
            <w:pPr>
              <w:keepNext w:val="0"/>
              <w:spacing w:after="0" w:line="280" w:lineRule="exact"/>
              <w:jc w:val="center"/>
            </w:pPr>
            <w:r>
              <w:rPr>
                <w:sz w:val="19"/>
              </w:rPr>
              <w:t>构建与测试发现</w:t>
            </w:r>
          </w:p>
        </w:tc>
        <w:tc>
          <w:tcPr>
            <w:tcW w:type="dxa" w:w="3969"/>
            <w:vAlign w:val="center"/>
            <w:tcMar>
              <w:top w:w="85" w:type="dxa"/>
              <w:bottom w:w="85" w:type="dxa"/>
              <w:left w:w="110" w:type="dxa"/>
              <w:right w:w="110" w:type="dxa"/>
            </w:tcMar>
            <w:shd w:fill="FFFFFF"/>
          </w:tcPr>
          <w:p>
            <w:pPr>
              <w:keepNext w:val="0"/>
              <w:spacing w:after="0" w:line="280" w:lineRule="exact"/>
            </w:pPr>
            <w:r>
              <w:rPr>
                <w:sz w:val="19"/>
              </w:rPr>
              <w:t>全新恢复依赖、编译目标项目、发现并运行实际测试。</w:t>
            </w:r>
          </w:p>
        </w:tc>
        <w:tc>
          <w:tcPr>
            <w:tcW w:type="dxa" w:w="3742"/>
            <w:vAlign w:val="center"/>
            <w:tcMar>
              <w:top w:w="85" w:type="dxa"/>
              <w:bottom w:w="85" w:type="dxa"/>
              <w:left w:w="110" w:type="dxa"/>
              <w:right w:w="110" w:type="dxa"/>
            </w:tcMar>
            <w:shd w:fill="FFFFFF"/>
          </w:tcPr>
          <w:p>
            <w:pPr>
              <w:keepNext w:val="0"/>
              <w:spacing w:after="0" w:line="280" w:lineRule="exact"/>
            </w:pPr>
            <w:r>
              <w:rPr>
                <w:sz w:val="19"/>
              </w:rPr>
              <w:t>SDK 与依赖记录、构建日志、测试总数及结果。</w:t>
            </w:r>
          </w:p>
        </w:tc>
      </w:tr>
      <w:tr>
        <w:trPr>
          <w:cantSplit/>
        </w:trPr>
        <w:tc>
          <w:tcPr>
            <w:tcW w:type="dxa" w:w="1928"/>
            <w:vAlign w:val="center"/>
            <w:tcMar>
              <w:top w:w="85" w:type="dxa"/>
              <w:bottom w:w="85" w:type="dxa"/>
              <w:left w:w="110" w:type="dxa"/>
              <w:right w:w="110" w:type="dxa"/>
            </w:tcMar>
            <w:shd w:fill="F3F6F8"/>
          </w:tcPr>
          <w:p>
            <w:pPr>
              <w:keepNext w:val="0"/>
              <w:spacing w:after="0" w:line="280" w:lineRule="exact"/>
              <w:jc w:val="center"/>
            </w:pPr>
            <w:r>
              <w:rPr>
                <w:sz w:val="19"/>
              </w:rPr>
              <w:t>用例与契约</w:t>
            </w:r>
          </w:p>
        </w:tc>
        <w:tc>
          <w:tcPr>
            <w:tcW w:type="dxa" w:w="3969"/>
            <w:vAlign w:val="center"/>
            <w:tcMar>
              <w:top w:w="85" w:type="dxa"/>
              <w:bottom w:w="85" w:type="dxa"/>
              <w:left w:w="110" w:type="dxa"/>
              <w:right w:w="110" w:type="dxa"/>
            </w:tcMar>
            <w:shd w:fill="F3F6F8"/>
          </w:tcPr>
          <w:p>
            <w:pPr>
              <w:keepNext w:val="0"/>
              <w:spacing w:after="0" w:line="280" w:lineRule="exact"/>
            </w:pPr>
            <w:r>
              <w:rPr>
                <w:sz w:val="19"/>
              </w:rPr>
              <w:t>身份权限、参数、错误码、超时、重复请求和序列化。</w:t>
            </w:r>
          </w:p>
        </w:tc>
        <w:tc>
          <w:tcPr>
            <w:tcW w:type="dxa" w:w="3742"/>
            <w:vAlign w:val="center"/>
            <w:tcMar>
              <w:top w:w="85" w:type="dxa"/>
              <w:bottom w:w="85" w:type="dxa"/>
              <w:left w:w="110" w:type="dxa"/>
              <w:right w:w="110" w:type="dxa"/>
            </w:tcMar>
            <w:shd w:fill="F3F6F8"/>
          </w:tcPr>
          <w:p>
            <w:pPr>
              <w:keepNext w:val="0"/>
              <w:spacing w:after="0" w:line="280" w:lineRule="exact"/>
            </w:pPr>
            <w:r>
              <w:rPr>
                <w:sz w:val="19"/>
              </w:rPr>
              <w:t>确定性测试；模拟执行器能记录输入和结果。</w:t>
            </w:r>
          </w:p>
        </w:tc>
      </w:tr>
      <w:tr>
        <w:trPr>
          <w:cantSplit/>
        </w:trPr>
        <w:tc>
          <w:tcPr>
            <w:tcW w:type="dxa" w:w="1928"/>
            <w:vAlign w:val="center"/>
            <w:tcMar>
              <w:top w:w="85" w:type="dxa"/>
              <w:bottom w:w="85" w:type="dxa"/>
              <w:left w:w="110" w:type="dxa"/>
              <w:right w:w="110" w:type="dxa"/>
            </w:tcMar>
            <w:shd w:fill="FFFFFF"/>
          </w:tcPr>
          <w:p>
            <w:pPr>
              <w:keepNext w:val="0"/>
              <w:spacing w:after="0" w:line="280" w:lineRule="exact"/>
              <w:jc w:val="center"/>
            </w:pPr>
            <w:r>
              <w:rPr>
                <w:sz w:val="19"/>
              </w:rPr>
              <w:t>区域与客户端</w:t>
            </w:r>
          </w:p>
        </w:tc>
        <w:tc>
          <w:tcPr>
            <w:tcW w:type="dxa" w:w="3969"/>
            <w:vAlign w:val="center"/>
            <w:tcMar>
              <w:top w:w="85" w:type="dxa"/>
              <w:bottom w:w="85" w:type="dxa"/>
              <w:left w:w="110" w:type="dxa"/>
              <w:right w:w="110" w:type="dxa"/>
            </w:tcMar>
            <w:shd w:fill="FFFFFF"/>
          </w:tcPr>
          <w:p>
            <w:pPr>
              <w:keepNext w:val="0"/>
              <w:spacing w:after="0" w:line="280" w:lineRule="exact"/>
            </w:pPr>
            <w:r>
              <w:rPr>
                <w:sz w:val="19"/>
              </w:rPr>
              <w:t>登录、移动、聊天、NPC、对象创建保存和重启恢复。</w:t>
            </w:r>
          </w:p>
        </w:tc>
        <w:tc>
          <w:tcPr>
            <w:tcW w:type="dxa" w:w="3742"/>
            <w:vAlign w:val="center"/>
            <w:tcMar>
              <w:top w:w="85" w:type="dxa"/>
              <w:bottom w:w="85" w:type="dxa"/>
              <w:left w:w="110" w:type="dxa"/>
              <w:right w:w="110" w:type="dxa"/>
            </w:tcMar>
            <w:shd w:fill="FFFFFF"/>
          </w:tcPr>
          <w:p>
            <w:pPr>
              <w:keepNext w:val="0"/>
              <w:spacing w:after="0" w:line="280" w:lineRule="exact"/>
            </w:pPr>
            <w:r>
              <w:rPr>
                <w:sz w:val="19"/>
              </w:rPr>
              <w:t>固定世界、客户端版本和操作步骤；记录可见结果。</w:t>
            </w:r>
          </w:p>
        </w:tc>
      </w:tr>
      <w:tr>
        <w:trPr>
          <w:cantSplit/>
        </w:trPr>
        <w:tc>
          <w:tcPr>
            <w:tcW w:type="dxa" w:w="1928"/>
            <w:vAlign w:val="center"/>
            <w:tcMar>
              <w:top w:w="85" w:type="dxa"/>
              <w:bottom w:w="85" w:type="dxa"/>
              <w:left w:w="110" w:type="dxa"/>
              <w:right w:w="110" w:type="dxa"/>
            </w:tcMar>
            <w:shd w:fill="F3F6F8"/>
          </w:tcPr>
          <w:p>
            <w:pPr>
              <w:keepNext w:val="0"/>
              <w:spacing w:after="0" w:line="280" w:lineRule="exact"/>
              <w:jc w:val="center"/>
            </w:pPr>
            <w:r>
              <w:rPr>
                <w:sz w:val="19"/>
              </w:rPr>
              <w:t>数据与脚本</w:t>
            </w:r>
          </w:p>
        </w:tc>
        <w:tc>
          <w:tcPr>
            <w:tcW w:type="dxa" w:w="3969"/>
            <w:vAlign w:val="center"/>
            <w:tcMar>
              <w:top w:w="85" w:type="dxa"/>
              <w:bottom w:w="85" w:type="dxa"/>
              <w:left w:w="110" w:type="dxa"/>
              <w:right w:w="110" w:type="dxa"/>
            </w:tcMar>
            <w:shd w:fill="F3F6F8"/>
          </w:tcPr>
          <w:p>
            <w:pPr>
              <w:keepNext w:val="0"/>
              <w:spacing w:after="0" w:line="280" w:lineRule="exact"/>
            </w:pPr>
            <w:r>
              <w:rPr>
                <w:sz w:val="19"/>
              </w:rPr>
              <w:t>资产与库存关系、事务失败、旧状态恢复及继续执行。</w:t>
            </w:r>
          </w:p>
        </w:tc>
        <w:tc>
          <w:tcPr>
            <w:tcW w:type="dxa" w:w="3742"/>
            <w:vAlign w:val="center"/>
            <w:tcMar>
              <w:top w:w="85" w:type="dxa"/>
              <w:bottom w:w="85" w:type="dxa"/>
              <w:left w:w="110" w:type="dxa"/>
              <w:right w:w="110" w:type="dxa"/>
            </w:tcMar>
            <w:shd w:fill="F3F6F8"/>
          </w:tcPr>
          <w:p>
            <w:pPr>
              <w:keepNext w:val="0"/>
              <w:spacing w:after="0" w:line="280" w:lineRule="exact"/>
            </w:pPr>
            <w:r>
              <w:rPr>
                <w:sz w:val="19"/>
              </w:rPr>
              <w:t>内容和行为比较；不能只比较文件是否存在。</w:t>
            </w:r>
          </w:p>
        </w:tc>
      </w:tr>
      <w:tr>
        <w:trPr>
          <w:cantSplit/>
        </w:trPr>
        <w:tc>
          <w:tcPr>
            <w:tcW w:type="dxa" w:w="1928"/>
            <w:vAlign w:val="center"/>
            <w:tcMar>
              <w:top w:w="85" w:type="dxa"/>
              <w:bottom w:w="85" w:type="dxa"/>
              <w:left w:w="110" w:type="dxa"/>
              <w:right w:w="110" w:type="dxa"/>
            </w:tcMar>
            <w:shd w:fill="FFFFFF"/>
          </w:tcPr>
          <w:p>
            <w:pPr>
              <w:keepNext w:val="0"/>
              <w:spacing w:after="0" w:line="280" w:lineRule="exact"/>
              <w:jc w:val="center"/>
            </w:pPr>
            <w:r>
              <w:rPr>
                <w:sz w:val="19"/>
              </w:rPr>
              <w:t>平台与原生库</w:t>
            </w:r>
          </w:p>
        </w:tc>
        <w:tc>
          <w:tcPr>
            <w:tcW w:type="dxa" w:w="3969"/>
            <w:vAlign w:val="center"/>
            <w:tcMar>
              <w:top w:w="85" w:type="dxa"/>
              <w:bottom w:w="85" w:type="dxa"/>
              <w:left w:w="110" w:type="dxa"/>
              <w:right w:w="110" w:type="dxa"/>
            </w:tcMar>
            <w:shd w:fill="FFFFFF"/>
          </w:tcPr>
          <w:p>
            <w:pPr>
              <w:keepNext w:val="0"/>
              <w:spacing w:after="0" w:line="280" w:lineRule="exact"/>
            </w:pPr>
            <w:r>
              <w:rPr>
                <w:sz w:val="19"/>
              </w:rPr>
              <w:t>目标系统与 CPU 架构下的插件、物理、图像与数据库。</w:t>
            </w:r>
          </w:p>
        </w:tc>
        <w:tc>
          <w:tcPr>
            <w:tcW w:type="dxa" w:w="3742"/>
            <w:vAlign w:val="center"/>
            <w:tcMar>
              <w:top w:w="85" w:type="dxa"/>
              <w:bottom w:w="85" w:type="dxa"/>
              <w:left w:w="110" w:type="dxa"/>
              <w:right w:w="110" w:type="dxa"/>
            </w:tcMar>
            <w:shd w:fill="FFFFFF"/>
          </w:tcPr>
          <w:p>
            <w:pPr>
              <w:keepNext w:val="0"/>
              <w:spacing w:after="0" w:line="280" w:lineRule="exact"/>
            </w:pPr>
            <w:r>
              <w:rPr>
                <w:sz w:val="19"/>
              </w:rPr>
              <w:t>从发布目录启动并执行真实功能的结果。</w:t>
            </w:r>
          </w:p>
        </w:tc>
      </w:tr>
      <w:tr>
        <w:trPr>
          <w:cantSplit/>
        </w:trPr>
        <w:tc>
          <w:tcPr>
            <w:tcW w:type="dxa" w:w="1928"/>
            <w:vAlign w:val="center"/>
            <w:tcMar>
              <w:top w:w="85" w:type="dxa"/>
              <w:bottom w:w="85" w:type="dxa"/>
              <w:left w:w="110" w:type="dxa"/>
              <w:right w:w="110" w:type="dxa"/>
            </w:tcMar>
            <w:shd w:fill="F3F6F8"/>
          </w:tcPr>
          <w:p>
            <w:pPr>
              <w:keepNext w:val="0"/>
              <w:spacing w:after="0" w:line="280" w:lineRule="exact"/>
              <w:jc w:val="center"/>
            </w:pPr>
            <w:r>
              <w:rPr>
                <w:sz w:val="19"/>
              </w:rPr>
              <w:t>并发与故障</w:t>
            </w:r>
          </w:p>
        </w:tc>
        <w:tc>
          <w:tcPr>
            <w:tcW w:type="dxa" w:w="3969"/>
            <w:vAlign w:val="center"/>
            <w:tcMar>
              <w:top w:w="85" w:type="dxa"/>
              <w:bottom w:w="85" w:type="dxa"/>
              <w:left w:w="110" w:type="dxa"/>
              <w:right w:w="110" w:type="dxa"/>
            </w:tcMar>
            <w:shd w:fill="F3F6F8"/>
          </w:tcPr>
          <w:p>
            <w:pPr>
              <w:keepNext w:val="0"/>
              <w:spacing w:after="0" w:line="280" w:lineRule="exact"/>
            </w:pPr>
            <w:r>
              <w:rPr>
                <w:sz w:val="19"/>
              </w:rPr>
              <w:t>慢服务、断网、满队列、取消、重复命令和区域卸载。</w:t>
            </w:r>
          </w:p>
        </w:tc>
        <w:tc>
          <w:tcPr>
            <w:tcW w:type="dxa" w:w="3742"/>
            <w:vAlign w:val="center"/>
            <w:tcMar>
              <w:top w:w="85" w:type="dxa"/>
              <w:bottom w:w="85" w:type="dxa"/>
              <w:left w:w="110" w:type="dxa"/>
              <w:right w:w="110" w:type="dxa"/>
            </w:tcMar>
            <w:shd w:fill="F3F6F8"/>
          </w:tcPr>
          <w:p>
            <w:pPr>
              <w:keepNext w:val="0"/>
              <w:spacing w:after="0" w:line="280" w:lineRule="exact"/>
            </w:pPr>
            <w:r>
              <w:rPr>
                <w:sz w:val="19"/>
              </w:rPr>
              <w:t>基础世界继续响应，结果明确，没有遗留工作。</w:t>
            </w:r>
          </w:p>
        </w:tc>
      </w:tr>
    </w:tbl>
    <w:p>
      <w:pPr>
        <w:spacing w:after="20" w:before="0" w:line="240" w:lineRule="auto"/>
      </w:pPr>
      <w:r>
        <w:rPr>
          <w:sz w:val="4"/>
        </w:rPr>
      </w:r>
    </w:p>
    <w:p>
      <w:pPr>
        <w:pStyle w:val="Heading2"/>
      </w:pPr>
      <w:r>
        <w:t>恢复旧测试的实际顺序</w:t>
      </w:r>
    </w:p>
    <w:p>
      <w:pPr>
        <w:ind w:left="159" w:hanging="159"/>
      </w:pPr>
      <w:r>
        <w:rPr>
          <w:b/>
        </w:rPr>
        <w:t xml:space="preserve">• </w:t>
      </w:r>
      <w:r>
        <w:t>选取 Framework、状态格式或 NPC 相关的少量代表性用例，建立可运行的测试项目，先确认断言确实会失败。</w:t>
      </w:r>
    </w:p>
    <w:p>
      <w:pPr>
        <w:ind w:left="159" w:hanging="159"/>
      </w:pPr>
      <w:r>
        <w:rPr>
          <w:b/>
        </w:rPr>
        <w:t xml:space="preserve">• </w:t>
      </w:r>
      <w:r>
        <w:t>核对旧测试的引擎引用、数据库依赖和共享静态状态；逐类修复，避免简单取消所有注释后一次面对大量无关失败。</w:t>
      </w:r>
    </w:p>
    <w:p>
      <w:pPr>
        <w:ind w:left="159" w:hanging="159"/>
      </w:pPr>
      <w:r>
        <w:rPr>
          <w:b/>
        </w:rPr>
        <w:t xml:space="preserve">• </w:t>
      </w:r>
      <w:r>
        <w:t>升级 NUnit 时检查断言 API、测试生命周期、测试 SDK 和适配器的兼容组合；固定选定版本并记录测试数量。[12]</w:t>
      </w:r>
    </w:p>
    <w:p>
      <w:pPr>
        <w:pStyle w:val="Heading2"/>
      </w:pPr>
      <w:r>
        <w:t>性能怎样判断</w:t>
      </w:r>
    </w:p>
    <w:p>
      <w:r>
        <w:rPr>
          <w:b w:val="0"/>
        </w:rPr>
        <w:t>在同一硬件、世界数据、客户端负载和预热方式下比较旧版与新版，记录区域帧耗时的 P50、P95、P99、CPU、内存、分配与 GC、队列长度及任务等待时间。对波动明显的项目重复测量，再判断是否发生退化。</w:t>
      </w:r>
    </w:p>
    <w:p>
      <w:r>
        <w:rPr>
          <w:b w:val="0"/>
        </w:rPr>
        <w:t>初期可以把“相同负载下 P95 帧耗时增幅不超过 10%”作为待基线确认的候选门槛；它不是已测得结果，也不能替代绝对响应目标。性能测试结果还应用来决定是否需要进一步优化 C# 或引入原生模块。</w:t>
      </w:r>
    </w:p>
    <w:p>
      <w:r>
        <w:rPr>
          <w:b w:val="0"/>
        </w:rPr>
        <w:t>先保证实际采用的 Windows 与 SQLite 环境。若发布目标包括 Linux 或其他数据库，就把它们加入明确的验证矩阵；未测试的平台和模块应标为未验证。</w:t>
      </w:r>
    </w:p>
    <w:p>
      <w:r>
        <w:br w:type="page"/>
      </w:r>
    </w:p>
    <w:p>
      <w:pPr>
        <w:pStyle w:val="Heading1"/>
      </w:pPr>
      <w:r>
        <w:t>自动构建 发布装配与回退</w:t>
      </w:r>
    </w:p>
    <w:p>
      <w:pPr>
        <w:pStyle w:val="Heading2"/>
      </w:pPr>
      <w:r>
        <w:t>重建适用于当前仓库的验证流程</w:t>
      </w:r>
    </w:p>
    <w:p>
      <w:r>
        <w:rPr>
          <w:b w:val="0"/>
        </w:rPr>
        <w:t>调整现有工作流的分支与仓库限制，把拉取请求、项目文件、依赖、配置模板和构建脚本变更纳入验证。先安装指定 SDK，再执行需要 dotnet 的生成步骤。构建测试与正式发布分开，普通变更只生成待验证产物。[1]</w:t>
      </w:r>
    </w:p>
    <w:p>
      <w:pPr>
        <w:ind w:left="159" w:hanging="159"/>
      </w:pPr>
      <w:r>
        <w:rPr>
          <w:b/>
        </w:rPr>
        <w:t xml:space="preserve">• </w:t>
      </w:r>
      <w:r>
        <w:t>恢复阶段：读取固定 SDK、恢复受控依赖、核验特殊 DLL 与原生库清单。</w:t>
      </w:r>
    </w:p>
    <w:p>
      <w:pPr>
        <w:ind w:left="159" w:hanging="159"/>
      </w:pPr>
      <w:r>
        <w:rPr>
          <w:b/>
        </w:rPr>
        <w:t xml:space="preserve">• </w:t>
      </w:r>
      <w:r>
        <w:t>验证阶段：构建、运行选定测试、检查新增告警，执行必要的场景与旧数据验证。</w:t>
      </w:r>
    </w:p>
    <w:p>
      <w:pPr>
        <w:ind w:left="159" w:hanging="159"/>
      </w:pPr>
      <w:r>
        <w:rPr>
          <w:b/>
        </w:rPr>
        <w:t xml:space="preserve">• </w:t>
      </w:r>
      <w:r>
        <w:t>装配阶段：收集明确的托管产物、原生组件、插件资源、配置模板和许可证。</w:t>
      </w:r>
    </w:p>
    <w:p>
      <w:pPr>
        <w:ind w:left="159" w:hanging="159"/>
      </w:pPr>
      <w:r>
        <w:rPr>
          <w:b/>
        </w:rPr>
        <w:t xml:space="preserve">• </w:t>
      </w:r>
      <w:r>
        <w:t>记录阶段：保存源码提交、依赖清单、测试结果和产物校验值；从装配目录做启动验证。</w:t>
      </w:r>
    </w:p>
    <w:p>
      <w:pPr>
        <w:pStyle w:val="Heading2"/>
      </w:pPr>
      <w:r>
        <w:t>现代构建完成后的命令形态</w:t>
      </w:r>
    </w:p>
    <w:p>
      <w:r>
        <w:rPr>
          <w:b w:val="0"/>
          <w:sz w:val="19"/>
        </w:rPr>
        <w:t>以下示意适用于已经完成项目与锁文件配置的解决方案；当前基线必须先完成前述迁移。测试工程需要实际加入解决方案，且应检查发现和执行的用例数量。</w:t>
      </w:r>
    </w:p>
    <w:p>
      <w:pPr>
        <w:spacing w:line="260" w:lineRule="exact" w:after="140"/>
      </w:pPr>
      <w:r>
        <w:rPr>
          <w:rFonts w:ascii="Consolas" w:hAnsi="Consolas"/>
          <w:sz w:val="18"/>
        </w:rPr>
        <w:t>dotnet restore OpenSim.sln --locked-mode</w:t>
      </w:r>
      <w:r>
        <w:rPr>
          <w:rFonts w:ascii="Consolas" w:hAnsi="Consolas"/>
          <w:sz w:val="18"/>
        </w:rPr>
        <w:br/>
        <w:t>dotnet build OpenSim.sln -c Release --no-restore</w:t>
      </w:r>
      <w:r>
        <w:rPr>
          <w:rFonts w:ascii="Consolas" w:hAnsi="Consolas"/>
          <w:sz w:val="18"/>
        </w:rPr>
        <w:br/>
        <w:t>dotnet test OpenSim.sln -c Release --no-build --no-restore</w:t>
      </w:r>
    </w:p>
    <w:p>
      <w:r>
        <w:rPr>
          <w:b w:val="0"/>
        </w:rPr>
        <w:t>锁文件只解决 NuGet 恢复图中的依赖，特殊二进制仍需独立校验。构建成功也不意味着发布目录完整，特别要验证 Mono.Addins 资源、原生库和系统相关文件。[5]</w:t>
      </w:r>
    </w:p>
    <w:p>
      <w:pPr>
        <w:pStyle w:val="Heading2"/>
      </w:pPr>
      <w:r>
        <w:t>按版本隔离程序与可变数据</w:t>
      </w:r>
    </w:p>
    <w:p>
      <w:r>
        <w:rPr>
          <w:b w:val="0"/>
        </w:rPr>
        <w:t>构建输出、待发布包、运行配置和可变数据采用明确目录。首次改造可保留兼容的运行布局，再由装配步骤生成；不要把清理编译产物和清理运行数据混为一件事。</w:t>
      </w:r>
    </w:p>
    <w:p>
      <w:pPr>
        <w:pStyle w:val="Heading2"/>
      </w:pPr>
      <w:r>
        <w:t>切换与回退顺序</w:t>
      </w:r>
    </w:p>
    <w:p>
      <w:pPr>
        <w:ind w:left="159" w:hanging="159"/>
      </w:pPr>
      <w:r>
        <w:rPr>
          <w:b/>
        </w:rPr>
        <w:t xml:space="preserve">• </w:t>
      </w:r>
      <w:r>
        <w:t>停止或暂停相关写入，保存数据库、资产和脚本状态的一致性备份，记录当前程序及配置版本。</w:t>
      </w:r>
    </w:p>
    <w:p>
      <w:pPr>
        <w:ind w:left="159" w:hanging="159"/>
      </w:pPr>
      <w:r>
        <w:rPr>
          <w:b/>
        </w:rPr>
        <w:t xml:space="preserve">• </w:t>
      </w:r>
      <w:r>
        <w:t>在备份副本上运行状态或数据迁移，验证输出和异常列表；先在测试区域加载新版本。</w:t>
      </w:r>
    </w:p>
    <w:p>
      <w:pPr>
        <w:ind w:left="159" w:hanging="159"/>
      </w:pPr>
      <w:r>
        <w:rPr>
          <w:b/>
        </w:rPr>
        <w:t xml:space="preserve">• </w:t>
      </w:r>
      <w:r>
        <w:t>通过基础功能、旧数据和性能验收后再切换实际实例，观察日志、状态恢复和资源占用。</w:t>
      </w:r>
    </w:p>
    <w:p>
      <w:pPr>
        <w:ind w:left="159" w:hanging="159"/>
      </w:pPr>
      <w:r>
        <w:rPr>
          <w:b/>
        </w:rPr>
        <w:t xml:space="preserve">• </w:t>
      </w:r>
      <w:r>
        <w:t>若失败，按配套的程序、配置和数据版本恢复。新格式已写入时，不能只换回旧 DLL；应恢复旧备份或使用已经验证的逆向转换。</w:t>
      </w:r>
    </w:p>
    <w:p>
      <w:r>
        <w:rPr>
          <w:b w:val="0"/>
        </w:rPr>
        <w:t>回退到切换前备份可能丢失切换后的新操作，因此要定义暂停写入或数据补偿窗口。是否保留新写入必须在发布前明确，不能到失败时临时决定。</w:t>
      </w:r>
    </w:p>
    <w:p>
      <w:r>
        <w:br w:type="page"/>
      </w:r>
    </w:p>
    <w:p>
      <w:pPr>
        <w:pStyle w:val="Heading1"/>
      </w:pPr>
      <w:r>
        <w:t>启动任务与第一阶段完成标准</w:t>
      </w:r>
    </w:p>
    <w:p>
      <w:pPr>
        <w:pStyle w:val="Heading2"/>
      </w:pPr>
      <w:r>
        <w:t>前十个工作日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5272"/>
        <w:gridCol w:w="3061"/>
      </w:tblGrid>
      <w:tr>
        <w:trPr>
          <w:cantSplit/>
          <w:tblHeader/>
        </w:trPr>
        <w:tc>
          <w:tcPr>
            <w:tcW w:type="dxa" w:w="1304"/>
            <w:vAlign w:val="center"/>
            <w:tcMar>
              <w:top w:w="85" w:type="dxa"/>
              <w:bottom w:w="85" w:type="dxa"/>
              <w:left w:w="110" w:type="dxa"/>
              <w:right w:w="110" w:type="dxa"/>
            </w:tcMar>
            <w:shd w:fill="243746"/>
          </w:tcPr>
          <w:p>
            <w:pPr>
              <w:keepNext/>
              <w:spacing w:after="0" w:line="280" w:lineRule="exact"/>
              <w:jc w:val="center"/>
            </w:pPr>
            <w:r>
              <w:rPr>
                <w:b/>
                <w:color w:val="FFFFFF"/>
                <w:sz w:val="19"/>
              </w:rPr>
              <w:t>时间</w:t>
            </w:r>
          </w:p>
        </w:tc>
        <w:tc>
          <w:tcPr>
            <w:tcW w:type="dxa" w:w="5272"/>
            <w:vAlign w:val="center"/>
            <w:tcMar>
              <w:top w:w="85" w:type="dxa"/>
              <w:bottom w:w="85" w:type="dxa"/>
              <w:left w:w="110" w:type="dxa"/>
              <w:right w:w="110" w:type="dxa"/>
            </w:tcMar>
            <w:shd w:fill="243746"/>
          </w:tcPr>
          <w:p>
            <w:pPr>
              <w:keepNext/>
              <w:spacing w:after="0" w:line="280" w:lineRule="exact"/>
            </w:pPr>
            <w:r>
              <w:rPr>
                <w:b/>
                <w:color w:val="FFFFFF"/>
                <w:sz w:val="19"/>
              </w:rPr>
              <w:t>主要任务</w:t>
            </w:r>
          </w:p>
        </w:tc>
        <w:tc>
          <w:tcPr>
            <w:tcW w:type="dxa" w:w="3061"/>
            <w:vAlign w:val="center"/>
            <w:tcMar>
              <w:top w:w="85" w:type="dxa"/>
              <w:bottom w:w="85" w:type="dxa"/>
              <w:left w:w="110" w:type="dxa"/>
              <w:right w:w="110" w:type="dxa"/>
            </w:tcMar>
            <w:shd w:fill="243746"/>
          </w:tcPr>
          <w:p>
            <w:pPr>
              <w:keepNext/>
              <w:spacing w:after="0" w:line="280" w:lineRule="exact"/>
            </w:pPr>
            <w:r>
              <w:rPr>
                <w:b/>
                <w:color w:val="FFFFFF"/>
                <w:sz w:val="19"/>
              </w:rPr>
              <w:t>产出</w:t>
            </w:r>
          </w:p>
        </w:tc>
      </w:tr>
      <w:tr>
        <w:trPr>
          <w:cantSplit/>
        </w:trPr>
        <w:tc>
          <w:tcPr>
            <w:tcW w:type="dxa" w:w="1304"/>
            <w:vAlign w:val="center"/>
            <w:tcMar>
              <w:top w:w="85" w:type="dxa"/>
              <w:bottom w:w="85" w:type="dxa"/>
              <w:left w:w="110" w:type="dxa"/>
              <w:right w:w="110" w:type="dxa"/>
            </w:tcMar>
            <w:shd w:fill="FFFFFF"/>
          </w:tcPr>
          <w:p>
            <w:pPr>
              <w:keepNext w:val="0"/>
              <w:spacing w:after="0" w:line="280" w:lineRule="exact"/>
              <w:jc w:val="center"/>
            </w:pPr>
            <w:r>
              <w:rPr>
                <w:sz w:val="19"/>
              </w:rPr>
              <w:t>第 1 至 2 天</w:t>
            </w:r>
          </w:p>
        </w:tc>
        <w:tc>
          <w:tcPr>
            <w:tcW w:type="dxa" w:w="5272"/>
            <w:vAlign w:val="center"/>
            <w:tcMar>
              <w:top w:w="85" w:type="dxa"/>
              <w:bottom w:w="85" w:type="dxa"/>
              <w:left w:w="110" w:type="dxa"/>
              <w:right w:w="110" w:type="dxa"/>
            </w:tcMar>
            <w:shd w:fill="FFFFFF"/>
          </w:tcPr>
          <w:p>
            <w:pPr>
              <w:keepNext w:val="0"/>
              <w:spacing w:after="0" w:line="280" w:lineRule="exact"/>
            </w:pPr>
            <w:r>
              <w:rPr>
                <w:sz w:val="19"/>
              </w:rPr>
              <w:t>确认源码与运行包关系、首批范围和目标平台，补齐构建输入。</w:t>
            </w:r>
          </w:p>
        </w:tc>
        <w:tc>
          <w:tcPr>
            <w:tcW w:type="dxa" w:w="3061"/>
            <w:vAlign w:val="center"/>
            <w:tcMar>
              <w:top w:w="85" w:type="dxa"/>
              <w:bottom w:w="85" w:type="dxa"/>
              <w:left w:w="110" w:type="dxa"/>
              <w:right w:w="110" w:type="dxa"/>
            </w:tcMar>
            <w:shd w:fill="FFFFFF"/>
          </w:tcPr>
          <w:p>
            <w:pPr>
              <w:keepNext w:val="0"/>
              <w:spacing w:after="0" w:line="280" w:lineRule="exact"/>
            </w:pPr>
            <w:r>
              <w:rPr>
                <w:sz w:val="19"/>
              </w:rPr>
              <w:t>固定源码、范围说明、初步依赖清单。</w:t>
            </w:r>
          </w:p>
        </w:tc>
      </w:tr>
      <w:tr>
        <w:trPr>
          <w:cantSplit/>
        </w:trPr>
        <w:tc>
          <w:tcPr>
            <w:tcW w:type="dxa" w:w="1304"/>
            <w:vAlign w:val="center"/>
            <w:tcMar>
              <w:top w:w="85" w:type="dxa"/>
              <w:bottom w:w="85" w:type="dxa"/>
              <w:left w:w="110" w:type="dxa"/>
              <w:right w:w="110" w:type="dxa"/>
            </w:tcMar>
            <w:shd w:fill="F3F6F8"/>
          </w:tcPr>
          <w:p>
            <w:pPr>
              <w:keepNext w:val="0"/>
              <w:spacing w:after="0" w:line="280" w:lineRule="exact"/>
              <w:jc w:val="center"/>
            </w:pPr>
            <w:r>
              <w:rPr>
                <w:sz w:val="19"/>
              </w:rPr>
              <w:t>第 3 至 4 天</w:t>
            </w:r>
          </w:p>
        </w:tc>
        <w:tc>
          <w:tcPr>
            <w:tcW w:type="dxa" w:w="5272"/>
            <w:vAlign w:val="center"/>
            <w:tcMar>
              <w:top w:w="85" w:type="dxa"/>
              <w:bottom w:w="85" w:type="dxa"/>
              <w:left w:w="110" w:type="dxa"/>
              <w:right w:w="110" w:type="dxa"/>
            </w:tcMar>
            <w:shd w:fill="F3F6F8"/>
          </w:tcPr>
          <w:p>
            <w:pPr>
              <w:keepNext w:val="0"/>
              <w:spacing w:after="0" w:line="280" w:lineRule="exact"/>
            </w:pPr>
            <w:r>
              <w:rPr>
                <w:sz w:val="19"/>
              </w:rPr>
              <w:t>完成原构建与独立世界启动；定位所有阻塞问题。</w:t>
            </w:r>
          </w:p>
        </w:tc>
        <w:tc>
          <w:tcPr>
            <w:tcW w:type="dxa" w:w="3061"/>
            <w:vAlign w:val="center"/>
            <w:tcMar>
              <w:top w:w="85" w:type="dxa"/>
              <w:bottom w:w="85" w:type="dxa"/>
              <w:left w:w="110" w:type="dxa"/>
              <w:right w:w="110" w:type="dxa"/>
            </w:tcMar>
            <w:shd w:fill="F3F6F8"/>
          </w:tcPr>
          <w:p>
            <w:pPr>
              <w:keepNext w:val="0"/>
              <w:spacing w:after="0" w:line="280" w:lineRule="exact"/>
            </w:pPr>
            <w:r>
              <w:rPr>
                <w:sz w:val="19"/>
              </w:rPr>
              <w:t>构建记录、配置模板和问题列表。</w:t>
            </w:r>
          </w:p>
        </w:tc>
      </w:tr>
      <w:tr>
        <w:trPr>
          <w:cantSplit/>
        </w:trPr>
        <w:tc>
          <w:tcPr>
            <w:tcW w:type="dxa" w:w="1304"/>
            <w:vAlign w:val="center"/>
            <w:tcMar>
              <w:top w:w="85" w:type="dxa"/>
              <w:bottom w:w="85" w:type="dxa"/>
              <w:left w:w="110" w:type="dxa"/>
              <w:right w:w="110" w:type="dxa"/>
            </w:tcMar>
            <w:shd w:fill="FFFFFF"/>
          </w:tcPr>
          <w:p>
            <w:pPr>
              <w:keepNext w:val="0"/>
              <w:spacing w:after="0" w:line="280" w:lineRule="exact"/>
              <w:jc w:val="center"/>
            </w:pPr>
            <w:r>
              <w:rPr>
                <w:sz w:val="19"/>
              </w:rPr>
              <w:t>第 5 至 6 天</w:t>
            </w:r>
          </w:p>
        </w:tc>
        <w:tc>
          <w:tcPr>
            <w:tcW w:type="dxa" w:w="5272"/>
            <w:vAlign w:val="center"/>
            <w:tcMar>
              <w:top w:w="85" w:type="dxa"/>
              <w:bottom w:w="85" w:type="dxa"/>
              <w:left w:w="110" w:type="dxa"/>
              <w:right w:w="110" w:type="dxa"/>
            </w:tcMar>
            <w:shd w:fill="FFFFFF"/>
          </w:tcPr>
          <w:p>
            <w:pPr>
              <w:keepNext w:val="0"/>
              <w:spacing w:after="0" w:line="280" w:lineRule="exact"/>
            </w:pPr>
            <w:r>
              <w:rPr>
                <w:sz w:val="19"/>
              </w:rPr>
              <w:t>记录基础行为与旧状态样本，恢复最相关测试并验证备份恢复。</w:t>
            </w:r>
          </w:p>
        </w:tc>
        <w:tc>
          <w:tcPr>
            <w:tcW w:type="dxa" w:w="3061"/>
            <w:vAlign w:val="center"/>
            <w:tcMar>
              <w:top w:w="85" w:type="dxa"/>
              <w:bottom w:w="85" w:type="dxa"/>
              <w:left w:w="110" w:type="dxa"/>
              <w:right w:w="110" w:type="dxa"/>
            </w:tcMar>
            <w:shd w:fill="FFFFFF"/>
          </w:tcPr>
          <w:p>
            <w:pPr>
              <w:keepNext w:val="0"/>
              <w:spacing w:after="0" w:line="280" w:lineRule="exact"/>
            </w:pPr>
            <w:r>
              <w:rPr>
                <w:sz w:val="19"/>
              </w:rPr>
              <w:t>可复现的基线和测试子集。</w:t>
            </w:r>
          </w:p>
        </w:tc>
      </w:tr>
      <w:tr>
        <w:trPr>
          <w:cantSplit/>
        </w:trPr>
        <w:tc>
          <w:tcPr>
            <w:tcW w:type="dxa" w:w="1304"/>
            <w:vAlign w:val="center"/>
            <w:tcMar>
              <w:top w:w="85" w:type="dxa"/>
              <w:bottom w:w="85" w:type="dxa"/>
              <w:left w:w="110" w:type="dxa"/>
              <w:right w:w="110" w:type="dxa"/>
            </w:tcMar>
            <w:shd w:fill="F3F6F8"/>
          </w:tcPr>
          <w:p>
            <w:pPr>
              <w:keepNext w:val="0"/>
              <w:spacing w:after="0" w:line="280" w:lineRule="exact"/>
              <w:jc w:val="center"/>
            </w:pPr>
            <w:r>
              <w:rPr>
                <w:sz w:val="19"/>
              </w:rPr>
              <w:t>第 7 至 8 天</w:t>
            </w:r>
          </w:p>
        </w:tc>
        <w:tc>
          <w:tcPr>
            <w:tcW w:type="dxa" w:w="5272"/>
            <w:vAlign w:val="center"/>
            <w:tcMar>
              <w:top w:w="85" w:type="dxa"/>
              <w:bottom w:w="85" w:type="dxa"/>
              <w:left w:w="110" w:type="dxa"/>
              <w:right w:w="110" w:type="dxa"/>
            </w:tcMar>
            <w:shd w:fill="F3F6F8"/>
          </w:tcPr>
          <w:p>
            <w:pPr>
              <w:keepNext w:val="0"/>
              <w:spacing w:after="0" w:line="280" w:lineRule="exact"/>
            </w:pPr>
            <w:r>
              <w:rPr>
                <w:sz w:val="19"/>
              </w:rPr>
              <w:t>试验 .NET 10，检查 BinaryFormatter、图像、插件和原生依赖。</w:t>
            </w:r>
          </w:p>
        </w:tc>
        <w:tc>
          <w:tcPr>
            <w:tcW w:type="dxa" w:w="3061"/>
            <w:vAlign w:val="center"/>
            <w:tcMar>
              <w:top w:w="85" w:type="dxa"/>
              <w:bottom w:w="85" w:type="dxa"/>
              <w:left w:w="110" w:type="dxa"/>
              <w:right w:w="110" w:type="dxa"/>
            </w:tcMar>
            <w:shd w:fill="F3F6F8"/>
          </w:tcPr>
          <w:p>
            <w:pPr>
              <w:keepNext w:val="0"/>
              <w:spacing w:after="0" w:line="280" w:lineRule="exact"/>
            </w:pPr>
            <w:r>
              <w:rPr>
                <w:sz w:val="19"/>
              </w:rPr>
              <w:t>实际兼容结果与专项迁移任务。</w:t>
            </w:r>
          </w:p>
        </w:tc>
      </w:tr>
      <w:tr>
        <w:trPr>
          <w:cantSplit/>
        </w:trPr>
        <w:tc>
          <w:tcPr>
            <w:tcW w:type="dxa" w:w="1304"/>
            <w:vAlign w:val="center"/>
            <w:tcMar>
              <w:top w:w="85" w:type="dxa"/>
              <w:bottom w:w="85" w:type="dxa"/>
              <w:left w:w="110" w:type="dxa"/>
              <w:right w:w="110" w:type="dxa"/>
            </w:tcMar>
            <w:shd w:fill="FFFFFF"/>
          </w:tcPr>
          <w:p>
            <w:pPr>
              <w:keepNext w:val="0"/>
              <w:spacing w:after="0" w:line="280" w:lineRule="exact"/>
              <w:jc w:val="center"/>
            </w:pPr>
            <w:r>
              <w:rPr>
                <w:sz w:val="19"/>
              </w:rPr>
              <w:t>第 9 至 10 天</w:t>
            </w:r>
          </w:p>
        </w:tc>
        <w:tc>
          <w:tcPr>
            <w:tcW w:type="dxa" w:w="5272"/>
            <w:vAlign w:val="center"/>
            <w:tcMar>
              <w:top w:w="85" w:type="dxa"/>
              <w:bottom w:w="85" w:type="dxa"/>
              <w:left w:w="110" w:type="dxa"/>
              <w:right w:w="110" w:type="dxa"/>
            </w:tcMar>
            <w:shd w:fill="FFFFFF"/>
          </w:tcPr>
          <w:p>
            <w:pPr>
              <w:keepNext w:val="0"/>
              <w:spacing w:after="0" w:line="280" w:lineRule="exact"/>
            </w:pPr>
            <w:r>
              <w:rPr>
                <w:sz w:val="19"/>
              </w:rPr>
              <w:t>选择首个工程和依赖迁移试点，定义 NPC 用例契约与后续顺序。</w:t>
            </w:r>
          </w:p>
        </w:tc>
        <w:tc>
          <w:tcPr>
            <w:tcW w:type="dxa" w:w="3061"/>
            <w:vAlign w:val="center"/>
            <w:tcMar>
              <w:top w:w="85" w:type="dxa"/>
              <w:bottom w:w="85" w:type="dxa"/>
              <w:left w:w="110" w:type="dxa"/>
              <w:right w:w="110" w:type="dxa"/>
            </w:tcMar>
            <w:shd w:fill="FFFFFF"/>
          </w:tcPr>
          <w:p>
            <w:pPr>
              <w:keepNext w:val="0"/>
              <w:spacing w:after="0" w:line="280" w:lineRule="exact"/>
            </w:pPr>
            <w:r>
              <w:rPr>
                <w:sz w:val="19"/>
              </w:rPr>
              <w:t>迁移清单、接口草案和修订后的工作量估算。</w:t>
            </w:r>
          </w:p>
        </w:tc>
      </w:tr>
    </w:tbl>
    <w:p>
      <w:pPr>
        <w:spacing w:after="20" w:before="0" w:line="240" w:lineRule="auto"/>
      </w:pPr>
      <w:r>
        <w:rPr>
          <w:sz w:val="4"/>
        </w:rPr>
      </w:r>
    </w:p>
    <w:p>
      <w:pPr>
        <w:pStyle w:val="Heading2"/>
      </w:pPr>
      <w:r>
        <w:t>后续按里程碑推进</w:t>
      </w:r>
    </w:p>
    <w:p>
      <w:r>
        <w:rPr>
          <w:b w:val="0"/>
        </w:rPr>
        <w:t>M1 基线可复现；M2 工程与依赖迁移方式验证；M3 受支持运行时及旧状态恢复通过；M4 首批用例和接口完成；M5 从发布包启动并通过回退演练。每次只推进一个主要改造任务，完成验证后再扩大范围。</w:t>
      </w:r>
    </w:p>
    <w:p>
      <w:r>
        <w:rPr>
          <w:b w:val="0"/>
        </w:rPr>
        <w:t>模块之间可以按依赖关系调整顺序，但高风险升级试验应尽早做。第二周按实际问题重新估算；完成日期取决于已明确的迁移清单，不能仅按代码文件数量推算。</w:t>
      </w:r>
    </w:p>
    <w:p>
      <w:pPr>
        <w:pStyle w:val="Heading2"/>
      </w:pPr>
      <w:r>
        <w:t>第一阶段交付清单</w:t>
      </w:r>
    </w:p>
    <w:p>
      <w:pPr>
        <w:ind w:left="159" w:hanging="159"/>
      </w:pPr>
      <w:r>
        <w:rPr>
          <w:b/>
        </w:rPr>
        <w:t xml:space="preserve">• </w:t>
      </w:r>
      <w:r>
        <w:t>固定源码与受控工具链，完整依赖清单，实际可执行的构建和测试说明。</w:t>
      </w:r>
    </w:p>
    <w:p>
      <w:pPr>
        <w:ind w:left="159" w:hanging="159"/>
      </w:pPr>
      <w:r>
        <w:rPr>
          <w:b/>
        </w:rPr>
        <w:t xml:space="preserve">• </w:t>
      </w:r>
      <w:r>
        <w:t>已迁移工程与选定依赖的变更记录、兼容结果，以及明确标识的暂缓项。</w:t>
      </w:r>
    </w:p>
    <w:p>
      <w:pPr>
        <w:ind w:left="159" w:hanging="159"/>
      </w:pPr>
      <w:r>
        <w:rPr>
          <w:b/>
        </w:rPr>
        <w:t xml:space="preserve">• </w:t>
      </w:r>
      <w:r>
        <w:t>.NET 10 宿主、插件、原生库和代表性旧脚本状态的验证结果。</w:t>
      </w:r>
    </w:p>
    <w:p>
      <w:pPr>
        <w:ind w:left="159" w:hanging="159"/>
      </w:pPr>
      <w:r>
        <w:rPr>
          <w:b/>
        </w:rPr>
        <w:t xml:space="preserve">• </w:t>
      </w:r>
      <w:r>
        <w:t>经过测试的用例服务、世界数据契约、区域适配模块和模拟调用端。</w:t>
      </w:r>
    </w:p>
    <w:p>
      <w:pPr>
        <w:ind w:left="159" w:hanging="159"/>
      </w:pPr>
      <w:r>
        <w:rPr>
          <w:b/>
        </w:rPr>
        <w:t xml:space="preserve">• </w:t>
      </w:r>
      <w:r>
        <w:t>客户端、资产库存、持久化及关键脚本的回归记录；目标平台与数据库的覆盖范围。</w:t>
      </w:r>
    </w:p>
    <w:p>
      <w:pPr>
        <w:ind w:left="159" w:hanging="159"/>
      </w:pPr>
      <w:r>
        <w:rPr>
          <w:b/>
        </w:rPr>
        <w:t xml:space="preserve">• </w:t>
      </w:r>
      <w:r>
        <w:t>可启动的发布包、配置模板、状态迁移工具、运行监测与备份回退说明。</w:t>
      </w:r>
    </w:p>
    <w:p>
      <w:pPr>
        <w:pStyle w:val="Heading2"/>
      </w:pPr>
      <w:r>
        <w:t>什么时候进入下一阶段</w:t>
      </w:r>
    </w:p>
    <w:p>
      <w:r>
        <w:rPr>
          <w:b w:val="0"/>
        </w:rPr>
        <w:t>首批约定范围通过以上验收，模拟调用端可以完成观察、说话和移动，并验证权限、超时、重复请求与卸载处理后，即可接入真实模型。其他模块继续沿已建立的迁移流程推进，并在清单中保留真实完成状态。</w:t>
      </w:r>
    </w:p>
    <w:p>
      <w:r>
        <w:rPr>
          <w:b/>
        </w:rPr>
        <w:t>第一阶段最先要做的实际工作仍然是：让固定版本源码在独立环境中成功构建，并建立可以恢复的测试世界。这是判断后续每一次升级是否正确的基础。</w:t>
      </w:r>
    </w:p>
    <w:p>
      <w:r>
        <w:br w:type="page"/>
      </w:r>
    </w:p>
    <w:p>
      <w:pPr>
        <w:pStyle w:val="Heading1"/>
      </w:pPr>
      <w:r>
        <w:t>源码依据与官方技术参考</w:t>
      </w:r>
    </w:p>
    <w:p>
      <w:r>
        <w:rPr>
          <w:b w:val="0"/>
        </w:rPr>
        <w:t>源码依据固定为官方 0.9.3.0 分支提交 1f4a6dd1d3ff653ecc2748a7764106c30ac4ef9d。下列入口支持本文的架构与迁移分析；实际修改前应核对工作目录中的版本。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9"/>
        <w:gridCol w:w="5329"/>
      </w:tblGrid>
      <w:tr>
        <w:trPr>
          <w:cantSplit/>
          <w:tblHeader/>
        </w:trPr>
        <w:tc>
          <w:tcPr>
            <w:tcW w:type="dxa" w:w="4309"/>
            <w:vAlign w:val="center"/>
            <w:tcMar>
              <w:top w:w="85" w:type="dxa"/>
              <w:bottom w:w="85" w:type="dxa"/>
              <w:left w:w="110" w:type="dxa"/>
              <w:right w:w="110" w:type="dxa"/>
            </w:tcMar>
            <w:shd w:fill="243746"/>
          </w:tcPr>
          <w:p>
            <w:pPr>
              <w:keepNext/>
              <w:spacing w:after="0" w:line="280" w:lineRule="exact"/>
              <w:jc w:val="center"/>
            </w:pPr>
            <w:r>
              <w:rPr>
                <w:b/>
                <w:color w:val="FFFFFF"/>
                <w:sz w:val="19"/>
              </w:rPr>
              <w:t>入口</w:t>
            </w:r>
          </w:p>
        </w:tc>
        <w:tc>
          <w:tcPr>
            <w:tcW w:type="dxa" w:w="5329"/>
            <w:vAlign w:val="center"/>
            <w:tcMar>
              <w:top w:w="85" w:type="dxa"/>
              <w:bottom w:w="85" w:type="dxa"/>
              <w:left w:w="110" w:type="dxa"/>
              <w:right w:w="110" w:type="dxa"/>
            </w:tcMar>
            <w:shd w:fill="243746"/>
          </w:tcPr>
          <w:p>
            <w:pPr>
              <w:keepNext/>
              <w:spacing w:after="0" w:line="280" w:lineRule="exact"/>
            </w:pPr>
            <w:r>
              <w:rPr>
                <w:b/>
                <w:color w:val="FFFFFF"/>
                <w:sz w:val="19"/>
              </w:rPr>
              <w:t>用途</w:t>
            </w:r>
          </w:p>
        </w:tc>
      </w:tr>
      <w:tr>
        <w:trPr>
          <w:cantSplit/>
        </w:trPr>
        <w:tc>
          <w:tcPr>
            <w:tcW w:type="dxa" w:w="4309"/>
            <w:vAlign w:val="center"/>
            <w:tcMar>
              <w:top w:w="85" w:type="dxa"/>
              <w:bottom w:w="85" w:type="dxa"/>
              <w:left w:w="110" w:type="dxa"/>
              <w:right w:w="110" w:type="dxa"/>
            </w:tcMar>
            <w:shd w:fill="FFFFFF"/>
          </w:tcPr>
          <w:p>
            <w:pPr>
              <w:keepNext w:val="0"/>
              <w:spacing w:after="0" w:line="280" w:lineRule="exact"/>
              <w:jc w:val="center"/>
            </w:pPr>
            <w:r>
              <w:rPr>
                <w:sz w:val="19"/>
              </w:rPr>
              <w:t>BUILDING.md 及 runprebuild.bat/sh</w:t>
            </w:r>
          </w:p>
        </w:tc>
        <w:tc>
          <w:tcPr>
            <w:tcW w:type="dxa" w:w="5329"/>
            <w:vAlign w:val="center"/>
            <w:tcMar>
              <w:top w:w="85" w:type="dxa"/>
              <w:bottom w:w="85" w:type="dxa"/>
              <w:left w:w="110" w:type="dxa"/>
              <w:right w:w="110" w:type="dxa"/>
            </w:tcMar>
            <w:shd w:fill="FFFFFF"/>
          </w:tcPr>
          <w:p>
            <w:pPr>
              <w:keepNext w:val="0"/>
              <w:spacing w:after="0" w:line="280" w:lineRule="exact"/>
            </w:pPr>
            <w:r>
              <w:rPr>
                <w:sz w:val="19"/>
              </w:rPr>
              <w:t>原始构建要求、生成器调用与系统相关 DLL 复制。</w:t>
            </w:r>
          </w:p>
        </w:tc>
      </w:tr>
      <w:tr>
        <w:trPr>
          <w:cantSplit/>
        </w:trPr>
        <w:tc>
          <w:tcPr>
            <w:tcW w:type="dxa" w:w="4309"/>
            <w:vAlign w:val="center"/>
            <w:tcMar>
              <w:top w:w="85" w:type="dxa"/>
              <w:bottom w:w="85" w:type="dxa"/>
              <w:left w:w="110" w:type="dxa"/>
              <w:right w:w="110" w:type="dxa"/>
            </w:tcMar>
            <w:shd w:fill="F3F6F8"/>
          </w:tcPr>
          <w:p>
            <w:pPr>
              <w:keepNext w:val="0"/>
              <w:spacing w:after="0" w:line="280" w:lineRule="exact"/>
              <w:jc w:val="center"/>
            </w:pPr>
            <w:r>
              <w:rPr>
                <w:sz w:val="19"/>
              </w:rPr>
              <w:t>prebuild.xml 及 TESTING.txt</w:t>
            </w:r>
          </w:p>
        </w:tc>
        <w:tc>
          <w:tcPr>
            <w:tcW w:type="dxa" w:w="5329"/>
            <w:vAlign w:val="center"/>
            <w:tcMar>
              <w:top w:w="85" w:type="dxa"/>
              <w:bottom w:w="85" w:type="dxa"/>
              <w:left w:w="110" w:type="dxa"/>
              <w:right w:w="110" w:type="dxa"/>
            </w:tcMar>
            <w:shd w:fill="F3F6F8"/>
          </w:tcPr>
          <w:p>
            <w:pPr>
              <w:keepNext w:val="0"/>
              <w:spacing w:after="0" w:line="280" w:lineRule="exact"/>
            </w:pPr>
            <w:r>
              <w:rPr>
                <w:sz w:val="19"/>
              </w:rPr>
              <w:t>启用项目、依赖、输出规则、警告抑制与历史测试方式。</w:t>
            </w:r>
          </w:p>
        </w:tc>
      </w:tr>
      <w:tr>
        <w:trPr>
          <w:cantSplit/>
        </w:trPr>
        <w:tc>
          <w:tcPr>
            <w:tcW w:type="dxa" w:w="4309"/>
            <w:vAlign w:val="center"/>
            <w:tcMar>
              <w:top w:w="85" w:type="dxa"/>
              <w:bottom w:w="85" w:type="dxa"/>
              <w:left w:w="110" w:type="dxa"/>
              <w:right w:w="110" w:type="dxa"/>
            </w:tcMar>
            <w:shd w:fill="FFFFFF"/>
          </w:tcPr>
          <w:p>
            <w:pPr>
              <w:keepNext w:val="0"/>
              <w:spacing w:after="0" w:line="280" w:lineRule="exact"/>
              <w:jc w:val="center"/>
            </w:pPr>
            <w:r>
              <w:rPr>
                <w:sz w:val="19"/>
              </w:rPr>
              <w:t>.github/workflows/msbuildnet.yml</w:t>
            </w:r>
          </w:p>
        </w:tc>
        <w:tc>
          <w:tcPr>
            <w:tcW w:type="dxa" w:w="5329"/>
            <w:vAlign w:val="center"/>
            <w:tcMar>
              <w:top w:w="85" w:type="dxa"/>
              <w:bottom w:w="85" w:type="dxa"/>
              <w:left w:w="110" w:type="dxa"/>
              <w:right w:w="110" w:type="dxa"/>
            </w:tcMar>
            <w:shd w:fill="FFFFFF"/>
          </w:tcPr>
          <w:p>
            <w:pPr>
              <w:keepNext w:val="0"/>
              <w:spacing w:after="0" w:line="280" w:lineRule="exact"/>
            </w:pPr>
            <w:r>
              <w:rPr>
                <w:sz w:val="19"/>
              </w:rPr>
              <w:t>现有自动构建触发、SDK、仓库限制和发布流程。</w:t>
            </w:r>
          </w:p>
        </w:tc>
      </w:tr>
      <w:tr>
        <w:trPr>
          <w:cantSplit/>
        </w:trPr>
        <w:tc>
          <w:tcPr>
            <w:tcW w:type="dxa" w:w="4309"/>
            <w:vAlign w:val="center"/>
            <w:tcMar>
              <w:top w:w="85" w:type="dxa"/>
              <w:bottom w:w="85" w:type="dxa"/>
              <w:left w:w="110" w:type="dxa"/>
              <w:right w:w="110" w:type="dxa"/>
            </w:tcMar>
            <w:shd w:fill="F3F6F8"/>
          </w:tcPr>
          <w:p>
            <w:pPr>
              <w:keepNext w:val="0"/>
              <w:spacing w:after="0" w:line="280" w:lineRule="exact"/>
              <w:jc w:val="center"/>
            </w:pPr>
            <w:r>
              <w:rPr>
                <w:sz w:val="19"/>
              </w:rPr>
              <w:t>OpenSim/Region/Framework</w:t>
            </w:r>
          </w:p>
        </w:tc>
        <w:tc>
          <w:tcPr>
            <w:tcW w:type="dxa" w:w="5329"/>
            <w:vAlign w:val="center"/>
            <w:tcMar>
              <w:top w:w="85" w:type="dxa"/>
              <w:bottom w:w="85" w:type="dxa"/>
              <w:left w:w="110" w:type="dxa"/>
              <w:right w:w="110" w:type="dxa"/>
            </w:tcMar>
            <w:shd w:fill="F3F6F8"/>
          </w:tcPr>
          <w:p>
            <w:pPr>
              <w:keepNext w:val="0"/>
              <w:spacing w:after="0" w:line="280" w:lineRule="exact"/>
            </w:pPr>
            <w:r>
              <w:rPr>
                <w:sz w:val="19"/>
              </w:rPr>
              <w:t>Scenes/EventManager.cs 的聊天事件；Interfaces 下的区域生命周期与 NPC 接口。</w:t>
            </w:r>
          </w:p>
        </w:tc>
      </w:tr>
      <w:tr>
        <w:trPr>
          <w:cantSplit/>
        </w:trPr>
        <w:tc>
          <w:tcPr>
            <w:tcW w:type="dxa" w:w="4309"/>
            <w:vAlign w:val="center"/>
            <w:tcMar>
              <w:top w:w="85" w:type="dxa"/>
              <w:bottom w:w="85" w:type="dxa"/>
              <w:left w:w="110" w:type="dxa"/>
              <w:right w:w="110" w:type="dxa"/>
            </w:tcMar>
            <w:shd w:fill="FFFFFF"/>
          </w:tcPr>
          <w:p>
            <w:pPr>
              <w:keepNext w:val="0"/>
              <w:spacing w:after="0" w:line="280" w:lineRule="exact"/>
              <w:jc w:val="center"/>
            </w:pPr>
            <w:r>
              <w:rPr>
                <w:sz w:val="19"/>
              </w:rPr>
              <w:t>OpenSim/Region/ScriptEngine</w:t>
            </w:r>
          </w:p>
        </w:tc>
        <w:tc>
          <w:tcPr>
            <w:tcW w:type="dxa" w:w="5329"/>
            <w:vAlign w:val="center"/>
            <w:tcMar>
              <w:top w:w="85" w:type="dxa"/>
              <w:bottom w:w="85" w:type="dxa"/>
              <w:left w:w="110" w:type="dxa"/>
              <w:right w:w="110" w:type="dxa"/>
            </w:tcMar>
            <w:shd w:fill="FFFFFF"/>
          </w:tcPr>
          <w:p>
            <w:pPr>
              <w:keepNext w:val="0"/>
              <w:spacing w:after="0" w:line="280" w:lineRule="exact"/>
            </w:pPr>
            <w:r>
              <w:rPr>
                <w:sz w:val="19"/>
              </w:rPr>
              <w:t>Shared/Api/Implementation/OSSL_Api.cs 的权限入口；YEngine/XMRInstAbstract.cs 的状态编码。</w:t>
            </w:r>
          </w:p>
        </w:tc>
      </w:tr>
      <w:tr>
        <w:trPr>
          <w:cantSplit/>
        </w:trPr>
        <w:tc>
          <w:tcPr>
            <w:tcW w:type="dxa" w:w="4309"/>
            <w:vAlign w:val="center"/>
            <w:tcMar>
              <w:top w:w="85" w:type="dxa"/>
              <w:bottom w:w="85" w:type="dxa"/>
              <w:left w:w="110" w:type="dxa"/>
              <w:right w:w="110" w:type="dxa"/>
            </w:tcMar>
            <w:shd w:fill="F3F6F8"/>
          </w:tcPr>
          <w:p>
            <w:pPr>
              <w:keepNext w:val="0"/>
              <w:spacing w:after="0" w:line="280" w:lineRule="exact"/>
              <w:jc w:val="center"/>
            </w:pPr>
            <w:r>
              <w:rPr>
                <w:sz w:val="19"/>
              </w:rPr>
              <w:t>OpenSim/Region/PhysicsModules</w:t>
            </w:r>
          </w:p>
        </w:tc>
        <w:tc>
          <w:tcPr>
            <w:tcW w:type="dxa" w:w="5329"/>
            <w:vAlign w:val="center"/>
            <w:tcMar>
              <w:top w:w="85" w:type="dxa"/>
              <w:bottom w:w="85" w:type="dxa"/>
              <w:left w:w="110" w:type="dxa"/>
              <w:right w:w="110" w:type="dxa"/>
            </w:tcMar>
            <w:shd w:fill="F3F6F8"/>
          </w:tcPr>
          <w:p>
            <w:pPr>
              <w:keepNext w:val="0"/>
              <w:spacing w:after="0" w:line="280" w:lineRule="exact"/>
            </w:pPr>
            <w:r>
              <w:rPr>
                <w:sz w:val="19"/>
              </w:rPr>
              <w:t>ubOde/ODEApi.cs 的原生互操作，及其他物理适配代码。</w:t>
            </w:r>
          </w:p>
        </w:tc>
      </w:tr>
    </w:tbl>
    <w:p>
      <w:pPr>
        <w:spacing w:after="20" w:before="0" w:line="240" w:lineRule="auto"/>
      </w:pPr>
      <w:r>
        <w:rPr>
          <w:sz w:val="4"/>
        </w:rPr>
      </w:r>
    </w:p>
    <w:p>
      <w:pPr>
        <w:pStyle w:val="Heading2"/>
      </w:pPr>
      <w:r>
        <w:t>参考资料</w:t>
      </w:r>
    </w:p>
    <w:p>
      <w:pPr>
        <w:spacing w:after="60" w:line="280" w:lineRule="exact"/>
      </w:pPr>
      <w:r>
        <w:rPr>
          <w:b w:val="0"/>
        </w:rPr>
      </w:r>
      <w:r>
        <w:t xml:space="preserve">[1] </w:t>
      </w:r>
      <w:hyperlink r:id="rId10">
        <w:r>
          <w:rPr>
            <w:color w:val="245C83"/>
          </w:rPr>
          <w:t>OpenSimulator 固定源码提交</w:t>
        </w:r>
      </w:hyperlink>
    </w:p>
    <w:p>
      <w:pPr>
        <w:spacing w:after="60" w:line="280" w:lineRule="exact"/>
      </w:pPr>
      <w:r>
        <w:rPr>
          <w:b w:val="0"/>
        </w:rPr>
      </w:r>
      <w:r>
        <w:t xml:space="preserve">[2] </w:t>
      </w:r>
      <w:hyperlink r:id="rId11">
        <w:r>
          <w:rPr>
            <w:color w:val="245C83"/>
          </w:rPr>
          <w:t>.NET 支持周期</w:t>
        </w:r>
      </w:hyperlink>
    </w:p>
    <w:p>
      <w:pPr>
        <w:spacing w:after="60" w:line="280" w:lineRule="exact"/>
      </w:pPr>
      <w:r>
        <w:rPr>
          <w:b w:val="0"/>
        </w:rPr>
      </w:r>
      <w:r>
        <w:t xml:space="preserve">[3] </w:t>
      </w:r>
      <w:hyperlink r:id="rId12">
        <w:r>
          <w:rPr>
            <w:color w:val="245C83"/>
          </w:rPr>
          <w:t>BinaryFormatter 迁移指南</w:t>
        </w:r>
      </w:hyperlink>
    </w:p>
    <w:p>
      <w:pPr>
        <w:spacing w:after="60" w:line="280" w:lineRule="exact"/>
      </w:pPr>
      <w:r>
        <w:rPr>
          <w:b w:val="0"/>
        </w:rPr>
      </w:r>
      <w:r>
        <w:t xml:space="preserve">[4] </w:t>
      </w:r>
      <w:hyperlink r:id="rId13">
        <w:r>
          <w:rPr>
            <w:color w:val="245C83"/>
          </w:rPr>
          <w:t>.NET SDK 项目与默认编译项</w:t>
        </w:r>
      </w:hyperlink>
    </w:p>
    <w:p>
      <w:pPr>
        <w:spacing w:after="60" w:line="280" w:lineRule="exact"/>
      </w:pPr>
      <w:r>
        <w:rPr>
          <w:b w:val="0"/>
        </w:rPr>
      </w:r>
      <w:r>
        <w:t xml:space="preserve">[5] </w:t>
      </w:r>
      <w:hyperlink r:id="rId14">
        <w:r>
          <w:rPr>
            <w:color w:val="245C83"/>
          </w:rPr>
          <w:t>NuGet PackageReference 与锁文件</w:t>
        </w:r>
      </w:hyperlink>
    </w:p>
    <w:p>
      <w:pPr>
        <w:spacing w:after="60" w:line="280" w:lineRule="exact"/>
      </w:pPr>
      <w:r>
        <w:rPr>
          <w:b w:val="0"/>
        </w:rPr>
      </w:r>
      <w:r>
        <w:t xml:space="preserve">[6] </w:t>
      </w:r>
      <w:hyperlink r:id="rId15">
        <w:r>
          <w:rPr>
            <w:color w:val="245C83"/>
          </w:rPr>
          <w:t>NuGet 集中包版本管理</w:t>
        </w:r>
      </w:hyperlink>
    </w:p>
    <w:p>
      <w:pPr>
        <w:spacing w:after="60" w:line="280" w:lineRule="exact"/>
      </w:pPr>
      <w:r>
        <w:rPr>
          <w:b w:val="0"/>
        </w:rPr>
      </w:r>
      <w:r>
        <w:t xml:space="preserve">[7] </w:t>
      </w:r>
      <w:hyperlink r:id="rId16">
        <w:r>
          <w:rPr>
            <w:color w:val="245C83"/>
          </w:rPr>
          <w:t>NuGet 依赖审计</w:t>
        </w:r>
      </w:hyperlink>
    </w:p>
    <w:p>
      <w:pPr>
        <w:spacing w:after="60" w:line="280" w:lineRule="exact"/>
      </w:pPr>
      <w:r>
        <w:rPr>
          <w:b w:val="0"/>
        </w:rPr>
      </w:r>
      <w:r>
        <w:t xml:space="preserve">[8] </w:t>
      </w:r>
      <w:hyperlink r:id="rId17">
        <w:r>
          <w:rPr>
            <w:color w:val="245C83"/>
          </w:rPr>
          <w:t>HttpClient 生命周期与连接管理</w:t>
        </w:r>
      </w:hyperlink>
    </w:p>
    <w:p>
      <w:pPr>
        <w:spacing w:after="60" w:line="280" w:lineRule="exact"/>
      </w:pPr>
      <w:r>
        <w:rPr>
          <w:b w:val="0"/>
        </w:rPr>
      </w:r>
      <w:r>
        <w:t xml:space="preserve">[9] </w:t>
      </w:r>
      <w:hyperlink r:id="rId18">
        <w:r>
          <w:rPr>
            <w:color w:val="245C83"/>
          </w:rPr>
          <w:t>System.Drawing 跨平台兼容变化</w:t>
        </w:r>
      </w:hyperlink>
    </w:p>
    <w:p>
      <w:pPr>
        <w:spacing w:after="60" w:line="280" w:lineRule="exact"/>
      </w:pPr>
      <w:r>
        <w:rPr>
          <w:b w:val="0"/>
        </w:rPr>
      </w:r>
      <w:r>
        <w:t xml:space="preserve">[10] </w:t>
      </w:r>
      <w:hyperlink r:id="rId19">
        <w:r>
          <w:rPr>
            <w:color w:val="245C83"/>
          </w:rPr>
          <w:t>.NET 原生互操作实践</w:t>
        </w:r>
      </w:hyperlink>
    </w:p>
    <w:p>
      <w:pPr>
        <w:spacing w:after="60" w:line="280" w:lineRule="exact"/>
      </w:pPr>
      <w:r>
        <w:rPr>
          <w:b w:val="0"/>
        </w:rPr>
      </w:r>
      <w:r>
        <w:t xml:space="preserve">[11] </w:t>
      </w:r>
      <w:hyperlink r:id="rId20">
        <w:r>
          <w:rPr>
            <w:color w:val="245C83"/>
          </w:rPr>
          <w:t>System.Threading.Channels</w:t>
        </w:r>
      </w:hyperlink>
    </w:p>
    <w:p>
      <w:pPr>
        <w:spacing w:after="60" w:line="280" w:lineRule="exact"/>
      </w:pPr>
      <w:r>
        <w:rPr>
          <w:b w:val="0"/>
        </w:rPr>
      </w:r>
      <w:r>
        <w:t xml:space="preserve">[12] </w:t>
      </w:r>
      <w:hyperlink r:id="rId21">
        <w:r>
          <w:rPr>
            <w:color w:val="245C83"/>
          </w:rPr>
          <w:t>NUnit 迁移指南</w:t>
        </w:r>
      </w:hyperlink>
    </w:p>
    <w:p>
      <w:pPr>
        <w:spacing w:after="60" w:line="280" w:lineRule="exact"/>
      </w:pPr>
      <w:r>
        <w:rPr>
          <w:b w:val="0"/>
        </w:rPr>
      </w:r>
      <w:r>
        <w:t xml:space="preserve">[13] </w:t>
      </w:r>
      <w:hyperlink r:id="rId22">
        <w:r>
          <w:rPr>
            <w:color w:val="245C83"/>
          </w:rPr>
          <w:t>Microsoft.Extensions.AI</w:t>
        </w:r>
      </w:hyperlink>
    </w:p>
    <w:sectPr w:rsidR="00FC693F" w:rsidRPr="0006063C" w:rsidSect="00034616">
      <w:footerReference w:type="default" r:id="rId9"/>
      <w:pgSz w:w="11906" w:h="16838"/>
      <w:pgMar w:top="1049" w:right="1134" w:bottom="992"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0" w:lineRule="exact" w:after="100"/>
    </w:pPr>
    <w:rPr>
      <w:rFonts w:ascii="Calibri" w:hAnsi="Calibri" w:eastAsia="Microsoft YaHei"/>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64" w:lineRule="auto"/>
      <w:outlineLvl w:val="0"/>
    </w:pPr>
    <w:rPr>
      <w:rFonts w:ascii="Calibri" w:hAnsi="Calibri" w:eastAsia="Microsoft YaHe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line="264" w:lineRule="auto"/>
      <w:outlineLvl w:val="1"/>
    </w:pPr>
    <w:rPr>
      <w:rFonts w:ascii="Calibri" w:hAnsi="Calibri" w:eastAsia="Microsoft YaHei"/>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20" w:line="264" w:lineRule="auto"/>
      <w:outlineLvl w:val="2"/>
    </w:pPr>
    <w:rPr>
      <w:rFonts w:ascii="Calibri" w:hAnsi="Calibri" w:eastAsia="Microsoft YaHei"/>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4" w:lineRule="auto"/>
      <w:contextualSpacing/>
    </w:pPr>
    <w:rPr>
      <w:rFonts w:ascii="Calibri" w:hAnsi="Calibri" w:eastAsia="Microsoft YaHei"/>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64" w:lineRule="auto"/>
    </w:pPr>
    <w:rPr>
      <w:rFonts w:ascii="Calibri" w:hAnsi="Calibri" w:eastAsia="Microsoft YaHei"/>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eastAsia="Microsoft YaHe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opensim/opensim/tree/1f4a6dd1d3ff653ecc2748a7764106c30ac4ef9d" TargetMode="External"/><Relationship Id="rId11" Type="http://schemas.openxmlformats.org/officeDocument/2006/relationships/hyperlink" Target="https://dotnet.microsoft.com/en-us/platform/support/policy" TargetMode="External"/><Relationship Id="rId12" Type="http://schemas.openxmlformats.org/officeDocument/2006/relationships/hyperlink" Target="https://learn.microsoft.com/en-us/dotnet/standard/serialization/binaryformatter-migration-guide/" TargetMode="External"/><Relationship Id="rId13" Type="http://schemas.openxmlformats.org/officeDocument/2006/relationships/hyperlink" Target="https://learn.microsoft.com/en-us/dotnet/core/project-sdk/overview" TargetMode="External"/><Relationship Id="rId14" Type="http://schemas.openxmlformats.org/officeDocument/2006/relationships/hyperlink" Target="https://learn.microsoft.com/en-us/nuget/consume-packages/package-references-in-project-files" TargetMode="External"/><Relationship Id="rId15" Type="http://schemas.openxmlformats.org/officeDocument/2006/relationships/hyperlink" Target="https://learn.microsoft.com/en-us/nuget/consume-packages/central-package-management" TargetMode="External"/><Relationship Id="rId16" Type="http://schemas.openxmlformats.org/officeDocument/2006/relationships/hyperlink" Target="https://learn.microsoft.com/en-us/nuget/concepts/auditing-packages" TargetMode="External"/><Relationship Id="rId17" Type="http://schemas.openxmlformats.org/officeDocument/2006/relationships/hyperlink" Target="https://learn.microsoft.com/en-us/dotnet/fundamentals/networking/http/httpclient-guidelines" TargetMode="External"/><Relationship Id="rId18" Type="http://schemas.openxmlformats.org/officeDocument/2006/relationships/hyperlink" Target="https://learn.microsoft.com/en-us/dotnet/core/compatibility/core-libraries/7.0/system-drawing" TargetMode="External"/><Relationship Id="rId19" Type="http://schemas.openxmlformats.org/officeDocument/2006/relationships/hyperlink" Target="https://learn.microsoft.com/en-us/dotnet/standard/native-interop/best-practices" TargetMode="External"/><Relationship Id="rId20" Type="http://schemas.openxmlformats.org/officeDocument/2006/relationships/hyperlink" Target="https://learn.microsoft.com/en-us/dotnet/core/extensions/channels" TargetMode="External"/><Relationship Id="rId21" Type="http://schemas.openxmlformats.org/officeDocument/2006/relationships/hyperlink" Target="https://docs.nunit.org/articles/nunit/release-notes/Nunit4.0-MigrationGuide.html" TargetMode="External"/><Relationship Id="rId22" Type="http://schemas.openxmlformats.org/officeDocument/2006/relationships/hyperlink" Target="https://learn.microsoft.com/en-us/dotnet/ai/microsoft-extension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OpenSimulator 第一阶段重构实施指南</dc:title>
  <dc:subject>代码库升级 依赖现代化与语言选型</dc:subject>
  <dc:creator/>
  <cp:keywords>OpenSimulator,C#,现代化,依赖迁移,代码重构</cp:keywords>
  <dc:description>generated by python-docx</dc:description>
  <cp:lastModifiedBy/>
  <cp:revision>1</cp:revision>
  <dcterms:created xsi:type="dcterms:W3CDTF">2013-12-23T23:15:00Z</dcterms:created>
  <dcterms:modified xsi:type="dcterms:W3CDTF">2013-12-23T23:15:00Z</dcterms:modified>
  <cp:category/>
</cp:coreProperties>
</file>