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 Lab V5 系统说明与开发交接</w:t>
      </w:r>
    </w:p>
    <w:p>
      <w:pPr>
        <w:pStyle w:val="Subtitle"/>
      </w:pPr>
      <w:r>
        <w:t>从独立三维原型到服务端管理的共享世界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文档日期 2026年9月19日    应用版本 0.5.1    验证基线 2026年9月16日</w:t>
      </w:r>
    </w:p>
    <w:p>
      <w:r>
        <w:t>Region Lab 是以 OpenSimulator 0.9.3.0 为数据与行为参考、使用 Godot 逐步实现的虚拟世界原型。当前已具备场景编辑、静态模型导入、持久保存，以及桌面和浏览器共享同一区域的能力。后续方向是接入受控智能体与外部世界模型，将预测结果映射到可操作场景，再把任务结果与反馈返回平台。</w:t>
      </w:r>
    </w:p>
    <w:p>
      <w:r>
        <w:t>本文件面向准备接手或扩展系统的开发者。阅读后应能辨认各运行路径、找到主要代码、在独立目录启动系统，理解数据与提交规则，并选择有明确验收条件的下一项工作。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1" name="Picture 1" descr="图1  V5 网络桌面实际测试画面  包含地形 展馆及导入建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图1  V5 网络桌面实际测试画面  包含地形 展馆及导入建筑</w:t>
      </w:r>
    </w:p>
    <w:p>
      <w:r>
        <w:rPr>
          <w:b/>
        </w:rPr>
        <w:t>当前状态：</w:t>
      </w:r>
      <w:r>
        <w:t>V5.0 权威服务与双桌面已完成；V5.1 浏览器功能已实现，Firefox 冷启动仍未达到 10 秒门槛。V5 整体验收尚未关闭。在线大模型、现代区域智能体任务、正式身份库存和真实科学场景联调尚未完成。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源码基线 b41c1b7ef82c0066e8c54b9664ceb3198e67bcce，分支 codex/region-lab-v5。本文核对该提交及已有证据，未重新运行软件测试。</w:t>
      </w:r>
    </w:p>
    <w:p>
      <w:pPr>
        <w:pStyle w:val="Heading2"/>
      </w:pPr>
      <w:r>
        <w:t>阅读导航</w:t>
      </w:r>
    </w:p>
    <w:p>
      <w:r>
        <w:t>建设过程与架构见第2—4页；数据、网络和存储见第5—8页；启动、恢复和验证见第9—13页；原版接口边界、扩展方法及接手顺序见第14—16页；资料入口见第17页。</w:t>
      </w:r>
    </w:p>
    <w:p>
      <w:pPr>
        <w:pStyle w:val="Heading1"/>
        <w:pageBreakBefore/>
        <w:spacing w:before="0"/>
      </w:pPr>
      <w:r>
        <w:t>一 从零到 V5 的建设过程</w:t>
      </w:r>
    </w:p>
    <w:p>
      <w:r>
        <w:t>实施顺序围绕可验证的能力逐步展开：先定义世界数据并建立可运行场景，再补充编辑、资产和保存，随后验证原版语义，最后增加共享服务与轻客户端。原版 C# 源码保留，现代原型独立放在 prototype 中。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247"/>
        <w:gridCol w:w="2438"/>
        <w:gridCol w:w="5783"/>
      </w:tblGrid>
      <w:tr>
        <w:trPr>
          <w:cantSplit/>
          <w:tblHeader/>
        </w:trPr>
        <w:tc>
          <w:tcPr>
            <w:tcW w:type="dxa" w:w="1247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阶段</w:t>
            </w:r>
          </w:p>
        </w:tc>
        <w:tc>
          <w:tcPr>
            <w:tcW w:type="dxa" w:w="2438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解决的问题</w:t>
            </w:r>
          </w:p>
        </w:tc>
        <w:tc>
          <w:tcPr>
            <w:tcW w:type="dxa" w:w="5783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形成的能力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V1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如何让三维场景有可保存的数据基础</w:t>
            </w:r>
          </w:p>
        </w:tc>
        <w:tc>
          <w:tcPr>
            <w:tcW w:type="dxa" w:w="5783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定义区域、对象与坐标；完成单区域漫游、碰撞、对象编辑、快照和统一命令入口。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V2</w:t>
            </w:r>
          </w:p>
        </w:tc>
        <w:tc>
          <w:tcPr>
            <w:tcW w:type="dxa" w:w="2438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如何修改地形并检查结果</w:t>
            </w:r>
          </w:p>
        </w:tc>
        <w:tc>
          <w:tcPr>
            <w:tcW w:type="dxa" w:w="5783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增加抬升、降低、设高、平滑，以及拾取、笔刷预览和撤销重做。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V3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如何形成可进入和交互的场景</w:t>
            </w:r>
          </w:p>
        </w:tc>
        <w:tc>
          <w:tcPr>
            <w:tcW w:type="dxa" w:w="5783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增加六类内置对象、材质、环境、水面、门灯交互、展馆和旧存档迁移。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V3.1</w:t>
            </w:r>
          </w:p>
        </w:tc>
        <w:tc>
          <w:tcPr>
            <w:tcW w:type="dxa" w:w="2438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如何组织建筑并接纳外部模型</w:t>
            </w:r>
          </w:p>
        </w:tc>
        <w:tc>
          <w:tcPr>
            <w:tcW w:type="dxa" w:w="5783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实现对象组合、整体变换、静态 GLB 导入与复用、碰撞代理和资产随快照保存。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V4.0—4.2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如何验证语义并可靠保存</w:t>
            </w:r>
          </w:p>
        </w:tc>
        <w:tc>
          <w:tcPr>
            <w:tcW w:type="dxa" w:w="5783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独立运行固定 OpenSim；对照组合行为；建立原版 FP 网关与受控 Bot；完成 SQLite、真实建筑和 Web 实验。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V5.0</w:t>
            </w:r>
          </w:p>
        </w:tc>
        <w:tc>
          <w:tcPr>
            <w:tcW w:type="dxa" w:w="2438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如何让多个客户端共享有效状态</w:t>
            </w:r>
          </w:p>
        </w:tc>
        <w:tc>
          <w:tcPr>
            <w:tcW w:type="dxa" w:w="5783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拆出独立区域服务，增加双桌面同步、角色物理、最小会话、冲突处理和持久回执。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V5.1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如何在浏览器参与并减少传输</w:t>
            </w:r>
          </w:p>
        </w:tc>
        <w:tc>
          <w:tcPr>
            <w:tcW w:type="dxa" w:w="5783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加入 Web 客户端、兴趣范围过滤和按需资产；功能通过声明范围内检查，启动性能仍有未通过项。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系统的长期位置</w:t>
      </w:r>
    </w:p>
    <w:p>
      <w:r>
        <w:t>外部世界模型描述或预测环境状态，智能体根据目标选择动作，Region Lab 负责场景呈现、空间交互和受控执行。人类通过虚拟角色参与观察、操作与标注。最终需要贯通“预测输入—场景变化—人机任务—结果反馈”，而当前交付集中在虚拟世界基础与共享交互。</w:t>
      </w:r>
    </w:p>
    <w:p>
      <w:r>
        <w:t>水文、交通等专业计算以及模型训练由外部平台承担。现有水面和物理碰撞可用于表现与交互；真正的科学验证还需要明确模型输入、时间与坐标基准、任务指标及反馈数据。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术语：Avatar 为虚拟角色；Bot 为程序控制的角色；FP 为本项目融合协议。协议版本 0.2/0.3 与接口类别 FP-01—FP-09 分别编号。</w:t>
      </w:r>
    </w:p>
    <w:p>
      <w:pPr>
        <w:pStyle w:val="Heading1"/>
        <w:pageBreakBefore/>
        <w:spacing w:before="0"/>
      </w:pPr>
      <w:r>
        <w:t>二 运行架构与主要技术决定</w:t>
      </w:r>
    </w:p>
    <w:p>
      <w:r>
        <w:t>网络模式包含客户端、接入服务、Godot 权威区域和持久化工具。权威区域是唯一决定世界最终状态的进程；客户端接收授权后的世界视图并提交输入。关闭客户端后，世界服务继续运行。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5903999" cy="2743623"/>
            <wp:docPr id="2" name="Picture 2" descr="图2  现代区域的运行结构  只有持久提交确认后才发布编辑成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图2  现代区域的运行结构  只有持久提交确认后才发布编辑成功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757"/>
        <w:gridCol w:w="7710"/>
      </w:tblGrid>
      <w:tr>
        <w:trPr>
          <w:cantSplit/>
          <w:tblHeader/>
        </w:trPr>
        <w:tc>
          <w:tcPr>
            <w:tcW w:type="dxa" w:w="1757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部分</w:t>
            </w:r>
          </w:p>
        </w:tc>
        <w:tc>
          <w:tcPr>
            <w:tcW w:type="dxa" w:w="7710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技术与职责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客户端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Godot 4.5.1 标准版与 GDScript；桌面和 Web 复用主要表现及领域代码，LocalWorldView 保存只读投影。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RegionHost</w:t>
            </w:r>
          </w:p>
        </w:tc>
        <w:tc>
          <w:tcPr>
            <w:tcW w:type="dxa" w:w="7710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ASP.NET Core 8；提供网页、受控资产下载和 WebSocket 转发。世界规则及物理由 Godot 权威区域执行。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权威区域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Godot headless 与 Jolt；调用 WorldService 验证编辑，以 60 Hz 执行角色物理，以 20 Hz 分发状态。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RegionStore</w:t>
            </w:r>
          </w:p>
        </w:tc>
        <w:tc>
          <w:tcPr>
            <w:tcW w:type="dxa" w:w="7710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C#/.NET 8 独立本机工具；SQLite 保存世界记录与成功回执，模型二进制按 SHA256 存为外部文件。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继续开发时应保持的设计</w:t>
      </w:r>
    </w:p>
    <w:p>
      <w:r>
        <w:t>世界记录与 Godot 节点分离，显示和碰撞均由数据重建。界面、自动化及外部输入经命令校验后修改世界。现有项目不整体改写原版，也不因增加智能体而允许直接执行生成的脚本。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固定 Web 交付使用 WebGL2 与单线程发布模板；WebGPU、WebTransport/QUIC 为待验证技术方向。默认离线 JSON 模式不依赖 .NET；网络模式需要服务运行时。</w:t>
      </w:r>
    </w:p>
    <w:p>
      <w:pPr>
        <w:pStyle w:val="Heading1"/>
        <w:pageBreakBefore/>
        <w:spacing w:before="0"/>
      </w:pPr>
      <w:r>
        <w:t>三 仓库结构与代码阅读入口</w:t>
      </w:r>
    </w:p>
    <w:p>
      <w:r>
        <w:t>下列路径均相对于仓库根目录。业务扩展优先从领域层理解数据，再沿服务、网络和界面逐层检查。表中 Godot 文件的统一前缀为 prototype/godot/。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628"/>
        <w:gridCol w:w="5839"/>
      </w:tblGrid>
      <w:tr>
        <w:trPr>
          <w:cantSplit/>
          <w:tblHeader/>
        </w:trPr>
        <w:tc>
          <w:tcPr>
            <w:tcW w:type="dxa" w:w="3628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19"/>
              </w:rPr>
              <w:t>代码位置</w:t>
            </w:r>
          </w:p>
        </w:tc>
        <w:tc>
          <w:tcPr>
            <w:tcW w:type="dxa" w:w="5839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19"/>
              </w:rPr>
              <w:t>职责及建议阅读重点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domain/world_schema.gd</w:t>
              <w:br/>
              <w:t>domain/world_model.gd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世界格式、字段限制、归属检查和候选状态替换；新增数据应先确定校验与迁移。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domain/world_service.gd</w:t>
            </w:r>
          </w:p>
        </w:tc>
        <w:tc>
          <w:tcPr>
            <w:tcW w:type="dxa" w:w="5839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统一命令入口 dispatch/request、领域调用、离线历史及保存恢复；UI 与自动化不能绕过此层。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domain/group_commands.gd</w:t>
              <w:br/>
              <w:t>domain/world_transforms.gd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组合生命周期和局部/世界变换；根部件、解除及复制关系从这里追踪。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adapters/world_view.gd</w:t>
              <w:br/>
              <w:t>adapters/builtin_objects.gd</w:t>
            </w:r>
          </w:p>
        </w:tc>
        <w:tc>
          <w:tcPr>
            <w:tcW w:type="dxa" w:w="5839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持久数据到显示、碰撞及拾取的映射；门灯与内置形状表现。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adapters/glb_reader.gd</w:t>
              <w:br/>
              <w:t>adapters/mesh_assets.gd</w:t>
              <w:br/>
              <w:t>adapters/mesh_view.gd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静态模型输入校验、内容标识、网格与碰撞资源构造。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adapters/snapshot_repository.gd</w:t>
              <w:br/>
              <w:t>adapters/sqlite_repository.gd</w:t>
            </w:r>
          </w:p>
        </w:tc>
        <w:tc>
          <w:tcPr>
            <w:tcW w:type="dxa" w:w="5839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JSON 和 SQLite 仓储适配；通过 repository_contract.gd 保持领域与后端解耦。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network/server.gd</w:t>
              <w:br/>
              <w:t>network/storage_job.gd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握手、授权、串行命令队列、事务提交、投影和广播；_command → _execute → _finish_commit。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network/connection.gd</w:t>
              <w:br/>
              <w:t>network/local_world_view.gd</w:t>
            </w:r>
          </w:p>
        </w:tc>
        <w:tc>
          <w:tcPr>
            <w:tcW w:type="dxa" w:w="5839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连接、未确认请求、回执、序列校验和重新同步；只读副本不向业务暴露写入。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network/client.gd</w:t>
              <w:br/>
              <w:t>network/network_avatar.gd</w:t>
              <w:br/>
              <w:t>network/asset_loader.gd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网络 UI、角色预测/插值和资产获取；客户端场景入口为 network/client.tscn。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tests/ 和 client/</w:t>
            </w:r>
          </w:p>
        </w:tc>
        <w:tc>
          <w:tcPr>
            <w:tcW w:type="dxa" w:w="5839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原生/界面/网络数据检查与离线编辑器。离线主入口为 main.gd；网络服务入口为 network/server.tscn。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引擎工程之外</w:t>
      </w:r>
    </w:p>
    <w:p>
      <w:r>
        <w:t>services/RegionStore/Store.cs 实现存储，services/RegionHost/Program.cs 实现网关；prototype/tools/ 保存启动、导出与测试脚本。integration/opensim/ 保存固定原版、Region 模块和协议 Bot；integration/web/ 保存浏览器实验与验收。docs/contracts/、docs/comparisons/、docs/plans/ 分别记录合同、证据和计划。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阅读顺序建议：world_schema → world_service → network/server → connection/local_world_view → client → RegionStore。表内 domain、adapters、network、tests 和 client 路径均在 prototype/godot 下。</w:t>
      </w:r>
    </w:p>
    <w:p>
      <w:pPr>
        <w:pStyle w:val="Heading1"/>
        <w:pageBreakBefore/>
        <w:spacing w:before="0"/>
      </w:pPr>
      <w:r>
        <w:t>四 世界数据和场景能力</w:t>
      </w:r>
    </w:p>
    <w:p>
      <w:r>
        <w:t>持久世界是可序列化记录，根字段固定为 schema_version、revision、region、terrain、assets、objects、environment 和 groups。显示节点、物理句柄与在线会话不写入这份世界。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701"/>
        <w:gridCol w:w="3061"/>
        <w:gridCol w:w="4706"/>
      </w:tblGrid>
      <w:tr>
        <w:trPr>
          <w:cantSplit/>
          <w:tblHeader/>
        </w:trPr>
        <w:tc>
          <w:tcPr>
            <w:tcW w:type="dxa" w:w="1701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记录</w:t>
            </w:r>
          </w:p>
        </w:tc>
        <w:tc>
          <w:tcPr>
            <w:tcW w:type="dxa" w:w="3061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核心含义</w:t>
            </w:r>
          </w:p>
        </w:tc>
        <w:tc>
          <w:tcPr>
            <w:tcW w:type="dxa" w:w="4706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当前能力与边界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region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区域 UUID、所有者、尺寸和出生点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单个 256×256 米区域；当前客户端显示一个区域。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terrain / environment</w:t>
            </w:r>
          </w:p>
        </w:tc>
        <w:tc>
          <w:tcPr>
            <w:tcW w:type="dxa" w:w="306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规则高度场；太阳、水面、雾等参数</w:t>
            </w:r>
          </w:p>
        </w:tc>
        <w:tc>
          <w:tcPr>
            <w:tcW w:type="dxa" w:w="4706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四种地形笔刷和环境编辑；地形/环境网络上仍全区域下发。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objects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部件 UUID、资产引用、归属、变换、材质和状态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内置对象与静态网格；门灯有独立状态；输入上限 500 个部件。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groups</w:t>
            </w:r>
          </w:p>
        </w:tc>
        <w:tc>
          <w:tcPr>
            <w:tcW w:type="dxa" w:w="306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独立组 UUID、根部件、归属和整体变换</w:t>
            </w:r>
          </w:p>
        </w:tc>
        <w:tc>
          <w:tcPr>
            <w:tcW w:type="dxa" w:w="4706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单层组合；统一缩放；最多 128 组，每组 2—100 个成员。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assets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内置目录或 GLB 内容及元数据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六类内置资产；最多 16 个导入资产；许可、来源、尺寸与摘要可追溯。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坐标和组合语义</w:t>
      </w:r>
    </w:p>
    <w:p>
      <w:r>
        <w:t>数据坐标以米为单位，X 向东、Y 向北、Z 向上；到 Godot 转换为 (x, z, −y)。未组合物体使用世界变换，组合成员保存局部变换。组位置、旋转与统一缩放共同决定部件在场景中的位置。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P_world = P_group + Q_group * P_local * scale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Q_world = Q_group * Q_local</w:t>
      </w:r>
    </w:p>
    <w:p>
      <w:pPr>
        <w:keepNext w:val="0"/>
        <w:spacing w:line="252" w:lineRule="auto" w:after="16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Size_world = Size_local * scale</w:t>
      </w:r>
    </w:p>
    <w:p>
      <w:r>
        <w:t>根成员的局部位置为零、局部旋转为单位四元数；组 ID 与根部件 ID 独立。原始快照中的成员位置不能直接当作世界位置。UpdateObject 的变换输入使用世界坐标；根的位置和旋转由 UpdateGroup 修改。解除组保留部件 ID，复制组创建新的组与部件 ID，并复用资产。</w:t>
      </w:r>
    </w:p>
    <w:p>
      <w:pPr>
        <w:pStyle w:val="Heading2"/>
      </w:pPr>
      <w:r>
        <w:t>资产与实例分开管理</w:t>
      </w:r>
    </w:p>
    <w:p>
      <w:r>
        <w:t>导入模型只登记资产，随后通过 CreateObject 创建实例。相同字节按摘要复用；修改一个实例不会改变其他实例的身份。GLB 支持静态三角网格、不透明材质和内嵌 PNG；单文件不超过 2 MiB、20,000 三角形，含碰撞代理。动画、骨骼、透明材质、外部贴图等不在当前子集内。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世界格式 3 可迁移格式 1/2；完整快照最大 8 MiB。上述数量均为校验上限，不代表已验证性能容量。内置展馆为 15 部件组；真实建筑为基于 HABS 测绘资料制作的 Pioneer Log Cabin 简化样本。</w:t>
      </w:r>
    </w:p>
    <w:p>
      <w:pPr>
        <w:pStyle w:val="Heading1"/>
        <w:pageBreakBefore/>
        <w:spacing w:before="0"/>
      </w:pPr>
      <w:r>
        <w:t>五 一次网络操作如何完成</w:t>
      </w:r>
    </w:p>
    <w:p>
      <w:r>
        <w:t>现代区域使用 FP 0.3，通过 /ws 交换文本 JSON。客户端先发送 hello 完成身份确认，接收 welcome 与完整 snapshot；随后接收包含新增、修改和显式删除的 delta。序列缺失、世代变化或校验失败时请求 resync，合法新投影才替换旧状态。</w:t>
      </w:r>
    </w:p>
    <w:p>
      <w:pPr>
        <w:pStyle w:val="Heading2"/>
      </w:pPr>
      <w:r>
        <w:t>以修改对象位置为例</w:t>
      </w:r>
    </w:p>
    <w:p>
      <w:r>
        <w:t>1  客户端记录当前世界修订，生成请求 ID，提交 UpdateObject 及参数；本地界面显示等待提交。</w:t>
      </w:r>
    </w:p>
    <w:p>
      <w:r>
        <w:t>2  服务检查会话、过期时间、命令字段、所属区域、权限和请求身份，将命令放入有界串行队列。</w:t>
      </w:r>
    </w:p>
    <w:p>
      <w:r>
        <w:t>3  WorldService 在候选世界上验证领域规则。若两次写入使用同一旧修订，先成功的改变状态，另一项返回 REVISION_CONFLICT。</w:t>
      </w:r>
    </w:p>
    <w:p>
      <w:r>
        <w:t>4  RegionStore 把候选世界和成功回执放入同一 SQLite 事务。提交确认后，服务才发布新世界和成功 result；pending 只表示排队。</w:t>
      </w:r>
    </w:p>
    <w:p>
      <w:r>
        <w:t>5  同主体、同请求 ID、同内容重发返回原结果；同 ID 换内容会被拒绝。提交中断线时保留原请求 ID，重连后查询回执。RESULT_UNKNOWN 不能证明操作从未执行。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118"/>
        <w:gridCol w:w="2551"/>
        <w:gridCol w:w="3798"/>
      </w:tblGrid>
      <w:tr>
        <w:trPr>
          <w:cantSplit/>
          <w:tblHeader/>
        </w:trPr>
        <w:tc>
          <w:tcPr>
            <w:tcW w:type="dxa" w:w="3118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19"/>
              </w:rPr>
              <w:t>标识或计数</w:t>
            </w:r>
          </w:p>
        </w:tc>
        <w:tc>
          <w:tcPr>
            <w:tcW w:type="dxa" w:w="2551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19"/>
              </w:rPr>
              <w:t>解决的问题</w:t>
            </w:r>
          </w:p>
        </w:tc>
        <w:tc>
          <w:tcPr>
            <w:tcW w:type="dxa" w:w="3798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19"/>
              </w:rPr>
              <w:t>不能混用的原因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world revision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持久世界的编辑版本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用于编辑冲突；无变化操作可不增加它。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commit_revision / 存储 epoch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数据库提交点及恢复世代</w:t>
            </w:r>
          </w:p>
        </w:tc>
        <w:tc>
          <w:tcPr>
            <w:tcW w:type="dxa" w:w="3798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独立于世界修订，管理存储竞争与恢复。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world_epoch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本次网络服务启动的世代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服务重启产生新 UUID，旧世界命令不能直接续写。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seq / source_seq / tick</w:t>
            </w:r>
          </w:p>
        </w:tc>
        <w:tc>
          <w:tcPr>
            <w:tcW w:type="dxa" w:w="255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状态流序列 / 命令源序列 / 物理步</w:t>
            </w:r>
          </w:p>
        </w:tc>
        <w:tc>
          <w:tcPr>
            <w:tcW w:type="dxa" w:w="3798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分别服务于消息顺序和角色运动，不能作为持久世界修订。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request_id / trace_id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单项请求身份 / 追踪关联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去重和查询依赖原 request_id；trace 用于关联过程。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移动与持久编辑采用不同节奏</w:t>
      </w:r>
    </w:p>
    <w:p>
      <w:r>
        <w:t>客户端提交方向、朝向和跳跃，最终位置由服务端 60 Hz 物理计算；输入超过 250 ms 未更新即停止。自身先预测再按权威位置校正，远端角色延后 100 ms 插值，最多外推 200 ms。尚未实现完整输入历史回滚重演。Avatar 是会话瞬态数据，服务重启后在出生点重建。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完整命令字段及 13 项网络白名单见 FP 0.3 合同。离线 Undo/Redo、SaveRegion/LoadRegion 不能照搬为网络世界整体覆盖接口。</w:t>
      </w:r>
    </w:p>
    <w:p>
      <w:pPr>
        <w:pStyle w:val="Heading1"/>
        <w:pageBreakBefore/>
        <w:spacing w:before="0"/>
      </w:pPr>
      <w:r>
        <w:t>六 授权 范围过滤与资产获取</w:t>
      </w:r>
    </w:p>
    <w:p>
      <w:pPr>
        <w:pStyle w:val="Heading2"/>
      </w:pPr>
      <w:r>
        <w:t>当前身份和权限处于什么阶段</w:t>
      </w:r>
    </w:p>
    <w:p>
      <w:r>
        <w:t>初始化产生四类测试配置：editor-a 与 editor-b 是不同主体，共享区域所有者编辑授权；observer 只读；guest 属于独立所有者，不能编辑演示区域对象。令牌有效期为七天，单连接最长八小时；同一主体的新连接会替换旧连接。当前没有正式账户、SSO、会话撤销服务或完整用户库存。</w:t>
      </w:r>
    </w:p>
    <w:p>
      <w:r>
        <w:t>授权以服务解析出的主体和领域身份为准。客户端自行提供 owner 或 actor 不构成授权。私有对象先按主体过滤，包含不可见成员的组整体不发送；资产访问还检查对象引用关系，防止借公开对象引用私有模型。地形、环境为区域公共状态，碰撞仍包含全部物体，因此该机制不能等同于多租户隔离。</w:t>
      </w:r>
    </w:p>
    <w:p>
      <w:pPr>
        <w:pStyle w:val="Heading2"/>
      </w:pPr>
      <w:r>
        <w:t>兴趣范围决定需要同步的对象</w:t>
      </w:r>
    </w:p>
    <w:p>
      <w:r>
        <w:t>AOI 即当前关注的空间范围。默认半径 96 米，可设为 8—128 米；对象有 16 米退出滞后以减少边界反复加载。服务先做权限过滤，再按中心距离与对象尺寸筛选，组整体进入或离开。客户端离开范围后释放相关节点和模型缓存，重新进入时重新授权获取。</w:t>
      </w:r>
    </w:p>
    <w:p>
      <w:pPr>
        <w:pStyle w:val="Heading2"/>
      </w:pPr>
      <w:r>
        <w:t>模型字节通过独立端点获取</w:t>
      </w:r>
    </w:p>
    <w:p>
      <w:r>
        <w:t>1  状态投影携带可见资产元数据、精确字节数和 SHA256；GLB 字节通过 /assets/&lt;sha256&gt;.glb 及 Bearer 令牌获取。</w:t>
      </w:r>
    </w:p>
    <w:p>
      <w:r>
        <w:t>2  网关每次检查授权与文件摘要，浏览器资产响应不使用跨身份缓存；客户端再次验证长度、精确摘要和生产 GLB 规则。</w:t>
      </w:r>
    </w:p>
    <w:p>
      <w:r>
        <w:t>3  失败最多进行三次退避重试；缺失模型显示占位体。必要模型及碰撞尚未完成时不能进入可操作状态，修复后可重试。</w:t>
      </w:r>
    </w:p>
    <w:p>
      <w:pPr>
        <w:pStyle w:val="Heading2"/>
      </w:pPr>
      <w:r>
        <w:t>扩展这些模块时的约束</w:t>
      </w:r>
    </w:p>
    <w:p>
      <w:r>
        <w:t>新增对象字段必须同时检查投影、授权和资产引用路径。新角色能力要明确能看什么、能改什么、能调用什么动作。扩大 AOI 或添加缓存后，应验证离开后的删除、重新进入后的授权、不同主体切换和损坏内容拒绝。现有许可与来源字段是内容登记，不能代替用户库存和使用授权。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单消息上限 3 MiB，JSON 最大嵌套 24 层；初始认证需五秒内完成。命令队列、未确认状态更新和请求回执均有上限，慢客户端会暂停接收更新或被断开。具体阈值以网络合同和 wire.gd 为准。</w:t>
      </w:r>
    </w:p>
    <w:p>
      <w:pPr>
        <w:pStyle w:val="Heading1"/>
        <w:pageBreakBefore/>
        <w:spacing w:before="0"/>
      </w:pPr>
      <w:r>
        <w:t>七 持久化模型与版本兼容</w:t>
      </w:r>
    </w:p>
    <w:p>
      <w:r>
        <w:t>离线模式可选择 JSON 快照或 SQLite；V5 权威服务固定使用 SQLite。RegionStore 以独立本机进程执行管理请求，并调用生产 GDScript 校验器检查世界。业务代码不直接改 SQL 表，网络客户端也没有存储写入口。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438"/>
        <w:gridCol w:w="7030"/>
      </w:tblGrid>
      <w:tr>
        <w:trPr>
          <w:cantSplit/>
          <w:tblHeader/>
        </w:trPr>
        <w:tc>
          <w:tcPr>
            <w:tcW w:type="dxa" w:w="2438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实体或表</w:t>
            </w:r>
          </w:p>
        </w:tc>
        <w:tc>
          <w:tcPr>
            <w:tcW w:type="dxa" w:w="7030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保存内容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regions</w:t>
            </w:r>
          </w:p>
        </w:tc>
        <w:tc>
          <w:tcPr>
            <w:tcW w:type="dxa" w:w="703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区域 UUID、归属、世界修订、存储提交号和世代；地形、环境等根记录。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groups / objects</w:t>
            </w:r>
          </w:p>
        </w:tc>
        <w:tc>
          <w:tcPr>
            <w:tcW w:type="dxa" w:w="7030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组合、根成员、部件、变换、资产引用和独立状态；复合外键确保区域及引用关系完整。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assets / contents</w:t>
            </w:r>
          </w:p>
        </w:tc>
        <w:tc>
          <w:tcPr>
            <w:tcW w:type="dxa" w:w="703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资产元数据与内容摘要、长度；GLB 在 storage/objects/&lt;sha256&gt;.glb 外置保存。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commits</w:t>
            </w:r>
          </w:p>
        </w:tc>
        <w:tc>
          <w:tcPr>
            <w:tcW w:type="dxa" w:w="7030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区域、存储请求 ID、候选指纹和已提交存储号；用于进程间安全重试。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network_receipts</w:t>
            </w:r>
          </w:p>
        </w:tc>
        <w:tc>
          <w:tcPr>
            <w:tcW w:type="dxa" w:w="703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schema 3 增加的网络成功回执；与世界修改同事务保存，支持重启查询。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事务如何保护已提交状态</w:t>
      </w:r>
    </w:p>
    <w:p>
      <w:r>
        <w:t>提交前完整验证候选，取得 SQLite 写锁后检查重复请求和 expected_commit，再校验、刷新并发布资产文件，最后写世界与回执并提交。文件系统不参与数据库回滚，失败可能留下未引用文件，但不会形成已提交的悬空引用。内容回收与写入共用锁；这一保守方案也限制并发吞吐。</w:t>
      </w:r>
    </w:p>
    <w:p>
      <w:r>
        <w:t>成功回执持久保存，失败回执只在当前网络世代缓存；两类各有 10,000 条上限，达到后进入维护要求，尚无在线归档界面。存储提交结果无法确定时，服务会核对已持久数据；仍无法确认则冻结后续编辑。不能把超时或断线自动当作失败重做。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628"/>
        <w:gridCol w:w="1701"/>
        <w:gridCol w:w="4139"/>
      </w:tblGrid>
      <w:tr>
        <w:trPr>
          <w:cantSplit/>
          <w:tblHeader/>
        </w:trPr>
        <w:tc>
          <w:tcPr>
            <w:tcW w:type="dxa" w:w="3628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版本层次</w:t>
            </w:r>
          </w:p>
        </w:tc>
        <w:tc>
          <w:tcPr>
            <w:tcW w:type="dxa" w:w="1701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V5 当前值</w:t>
            </w:r>
          </w:p>
        </w:tc>
        <w:tc>
          <w:tcPr>
            <w:tcW w:type="dxa" w:w="4139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兼容含义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应用 / 现代 FP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0.5.1 / 0.3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原版网关继续为 FP 0.2，不可直接互换。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世界 / 本地命令 / JSON 封装</w:t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3 / 1 / 1</w:t>
            </w:r>
          </w:p>
        </w:tc>
        <w:tc>
          <w:tcPr>
            <w:tcW w:type="dxa" w:w="4139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世界格式 1、2 可经过校验后迁移。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SQLite schema / ZIP bundle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3 / 1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schema 1、2 可事务迁移到 3；未来版本拒绝。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备份与恢复的实际范围</w:t>
      </w:r>
    </w:p>
    <w:p>
      <w:r>
        <w:t>逻辑备份是单区域 ZIP，包含世界和全部登记网格资产，可独立搬移；不包含登录配置、历史网络回执和账户数据。导入产生新存储世代，服务启动产生新网络世代。原数据库与完整内容目录原样保留时才保留其中的持久回执。运行数据库不能只复制单个 SQLite 文件来代替一致备份。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升级前导出并试恢复，在数据库副本上迁移；回滚使用升级前备份及匹配程序。已验证进程终止、锁冲突、内容损坏与迁移回滚；突然断电、网络磁盘和多机共享数据目录尚未验证。</w:t>
      </w:r>
    </w:p>
    <w:p>
      <w:pPr>
        <w:pStyle w:val="Heading1"/>
        <w:pageBreakBefore/>
        <w:spacing w:before="0"/>
      </w:pPr>
      <w:r>
        <w:t>八 从源码启动双桌面共享区域</w:t>
      </w:r>
    </w:p>
    <w:p>
      <w:r>
        <w:t>当前正式步骤适用 Windows x64、PowerShell 7、Godot 4.5.1 标准版与 OpenGL 3.3。源码构建需要 .NET SDK 8.0.424；发布服务运行需要 .NET 8 和 ASP.NET Core 8 Runtime。正常使用不需要 Python、Node.js、模型服务或 API Key。</w:t>
      </w:r>
    </w:p>
    <w:p>
      <w:pPr>
        <w:pStyle w:val="Heading2"/>
      </w:pPr>
      <w:r>
        <w:t>取得基线并构建服务</w:t>
      </w:r>
    </w:p>
    <w:p>
      <w:r>
        <w:t>已有仓库先确认工作区和分支。首次获取可使用下列 clone 命令；需要精确复现本文时，从 b41c1b7 对应提交创建新的 codex/ 分支。后续功能开发应从核实后的最新主线创建分支，并确认该主线已包含所需 V5 提交。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git clone --branch codex/region-lab-v5 https://github.com/StarryLiu1122/OpenSim.git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Set-Location .\OpenSim</w:t>
      </w:r>
    </w:p>
    <w:p>
      <w:pPr>
        <w:keepNext w:val="0"/>
        <w:spacing w:line="252" w:lineRule="auto" w:after="16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git rev-parse HEAD</w:t>
      </w:r>
    </w:p>
    <w:p>
      <w:r>
        <w:t>以下命令在仓库根目录同一个 PowerShell 7 会话执行。将 $godot 改为实际引擎路径；GUID 后缀保证构建与数据使用新目录，初始化脚本拒绝覆盖已有实例。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$godot = 'C:\Tools\Godot_v4.5.1-stable_win64_console.exe'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$tag = [guid]::NewGuid().ToString('N')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$storeBuild = Join-Path $PWD "services\runtime\store-$tag"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$hostBuild = Join-Path $PWD "services\runtime\host-$tag"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.\services\Build-Store.ps1 -OutputDirectory $storeBuild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.\services\Build-Host.ps1 -OutputDirectory $hostBuild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$store = Join-Path $storeBuild 'runtime\RegionStore.exe'</w:t>
      </w:r>
    </w:p>
    <w:p>
      <w:pPr>
        <w:keepNext w:val="0"/>
        <w:spacing w:line="252" w:lineRule="auto" w:after="16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$gateway = Join-Path $hostBuild 'runtime\RegionHost.exe'</w:t>
      </w:r>
    </w:p>
    <w:p>
      <w:pPr>
        <w:pStyle w:val="Heading2"/>
      </w:pPr>
      <w:r>
        <w:t>初始化实例并打开两个客户端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$instance = Join-Path $PWD "prototype\runtime\network-$tag"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.\prototype\tools\Initialize-Network.ps1 -Directory $instance `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 xml:space="preserve">  -Godot $godot -Store $store -HostExecutable $gateway `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 xml:space="preserve">  -Port 19550 -WithBuilding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.\prototype\tools\Start-Network.ps1 -Directory $instance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.\prototype\tools\Start-NetworkClient.ps1 `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 xml:space="preserve">  -Directory $instance -Profile editor-a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.\prototype\tools\Start-NetworkClient.ps1 `</w:t>
      </w:r>
    </w:p>
    <w:p>
      <w:pPr>
        <w:keepNext w:val="0"/>
        <w:spacing w:line="252" w:lineRule="auto" w:after="16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 xml:space="preserve">  -Directory $instance -Profile editor-b</w:t>
      </w:r>
    </w:p>
    <w:p>
      <w:r>
        <w:t>实例使用连续三个空闲端口：19550 内部 WebSocket、19551 HTTP、19552 HTTPS，均只监听本机。需要并行实例时修改起始端口。$instance 保存到哪里，后续就从同一路径启动；再次进入不执行初始化。</w:t>
      </w:r>
    </w:p>
    <w:p>
      <w:r>
        <w:t>验收最小场景：两端连接后，在一端修改对象或切换门灯，观察另一端同步；关闭客户端确认服务仍在，再重启同一实例确认已提交世界恢复。prototype/Start.cmd 打开的是离线编辑器，不能代替网络入口。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源码仓库未附本轮发布二进制和私人实例数据。首次构建可能需要恢复依赖；真正离线交付需预先准备完整运行包、引擎归档和已验证依赖。</w:t>
      </w:r>
    </w:p>
    <w:p>
      <w:pPr>
        <w:pStyle w:val="Heading1"/>
        <w:pageBreakBefore/>
        <w:spacing w:before="0"/>
      </w:pPr>
      <w:r>
        <w:t>九 浏览器接入与日常操作</w:t>
      </w:r>
    </w:p>
    <w:p>
      <w:pPr>
        <w:pStyle w:val="Heading2"/>
      </w:pPr>
      <w:r>
        <w:t>导出并配置浏览器客户端</w:t>
      </w:r>
    </w:p>
    <w:p>
      <w:r>
        <w:t>使用官方 Godot 4.5.1 export templates 中的 templates/web_nothreads_release.zip。该固定单线程标准版模板与当前项目匹配。下列代码沿用前页的 $godot、$tag 和 $instance。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$template = 'C:\Tools\templates\web_nothreads_release.zip'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$webBuild = Join-Path $PWD "prototype\build\web-$tag"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.\prototype\tools\Export-NetworkWeb.ps1 -Godot $godot `</w:t>
      </w:r>
    </w:p>
    <w:p>
      <w:pPr>
        <w:keepNext w:val="0"/>
        <w:spacing w:line="252" w:lineRule="auto" w:after="16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 xml:space="preserve">  -Template $template -Destination $webBuild</w:t>
      </w:r>
    </w:p>
    <w:p>
      <w:r>
        <w:t>只有 export-manifest.json 生成才算导出完成。新实例可在初始化时传入 -WebDirectory "$webBuild\web"；已有实例先停止服务，将 private-config.json 的 web_root 改为该目录的绝对路径，再启动。它必须指向含 index.html 的完整发布目录。</w:t>
      </w:r>
    </w:p>
    <w:p>
      <w:r>
        <w:t>本机打开 http://127.0.0.1:19551/，输入对应主体令牌连接；HTTPS 地址为 https://127.0.0.1:19552/，浏览器需接受该实例的自签名证书。桌面入口使用生成的 PEM 校验 HTTPS。现有脚本不安装系统根证书，也没有公网部署验收。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4464000" cy="2976000"/>
            <wp:docPr id="3" name="Picture 3" descr="图3  Chromium 与桌面共享区域的实际测试画面  此功能截图为45对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9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图3  Chromium 与桌面共享区域的实际测试画面  此功能截图为45对象</w:t>
      </w:r>
    </w:p>
    <w:p>
      <w:pPr>
        <w:pStyle w:val="Heading2"/>
      </w:pPr>
      <w:r>
        <w:t>接手后先熟悉的操作</w:t>
      </w:r>
    </w:p>
    <w:p>
      <w:r>
        <w:t>列表选中对象后修改名称或坐标并提交；“门 / 灯”“新建方块”和“删除”也经过服务确认。WASD 移动、空格跳跃、Esc 释放鼠标。组合、地形和环境等部分能力通过命令下拉框及 JSON 参数使用，网络 UI 尚未复制离线编辑器全部面板，也没有共享撤销历史。</w:t>
      </w:r>
    </w:p>
    <w:p>
      <w:r>
        <w:t>选择 GLB 后补齐许可和来源，提交 UploadAsset；回执返回资产 ID，再通过 CreateObject 建立实例。仅暂存文件不代表导入已成功。刷新网页后重新登录，令牌只存内存；下载的观察记录不是完整世界备份。</w:t>
      </w:r>
    </w:p>
    <w:p>
      <w:pPr>
        <w:pStyle w:val="Heading1"/>
        <w:pageBreakBefore/>
        <w:spacing w:before="0"/>
      </w:pPr>
      <w:r>
        <w:t>十 实例文件 备份恢复与故障定位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685"/>
        <w:gridCol w:w="5783"/>
      </w:tblGrid>
      <w:tr>
        <w:trPr>
          <w:cantSplit/>
          <w:tblHeader/>
        </w:trPr>
        <w:tc>
          <w:tcPr>
            <w:tcW w:type="dxa" w:w="3685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19"/>
              </w:rPr>
              <w:t>实例内内容</w:t>
            </w:r>
          </w:p>
        </w:tc>
        <w:tc>
          <w:tcPr>
            <w:tcW w:type="dxa" w:w="5783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19"/>
              </w:rPr>
              <w:t>用途及交接方式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private-config.json / localhost.pfx</w:t>
            </w:r>
          </w:p>
        </w:tc>
        <w:tc>
          <w:tcPr>
            <w:tcW w:type="dxa" w:w="5783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测试身份、令牌及私钥；不得提交到 Git 或随普通客户端分发。接手者创建自己的实例。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storage/</w:t>
            </w:r>
          </w:p>
        </w:tc>
        <w:tc>
          <w:tcPr>
            <w:tcW w:type="dxa" w:w="5783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SQLite、按摘要保存的 GLB 及持久回执；数据交付优先使用逻辑备份，必要历史另作受控交接。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processes.json / instance.json</w:t>
            </w:r>
          </w:p>
        </w:tc>
        <w:tc>
          <w:tcPr>
            <w:tcW w:type="dxa" w:w="5783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进程记录和公开实例信息；不作为可移植的账户或世界数据。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authority.log / gateway.stderr.log</w:t>
              <w:br/>
              <w:t>project-import.log</w:t>
            </w:r>
          </w:p>
        </w:tc>
        <w:tc>
          <w:tcPr>
            <w:tcW w:type="dxa" w:w="5783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服务、网关与首次资源导入诊断；发布日志前检查会话及私有路径。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停止并导出一致备份</w:t>
      </w:r>
    </w:p>
    <w:p>
      <w:r>
        <w:t>等待已提交结果明确后停止服务，沿用第9页变量。备份输出文件必须新建。示例针对默认演示区域；其他区域须传真实 RegionId。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.\prototype\tools\Stop-Network.ps1 -Directory $instance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$data = Join-Path $instance 'storage'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$backup = Join-Path $PWD "services\runtime\backup-$tag.zip"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.\services\Invoke-Store.ps1 -Operation backup -Root $data `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 xml:space="preserve">  -StoreExecutable $store -Godot $godot -OutputFile $backup `</w:t>
      </w:r>
    </w:p>
    <w:p>
      <w:pPr>
        <w:keepNext w:val="0"/>
        <w:spacing w:line="252" w:lineRule="auto" w:after="16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 xml:space="preserve">  -Report "$instance\backup-report.json"</w:t>
      </w:r>
    </w:p>
    <w:p>
      <w:pPr>
        <w:pStyle w:val="Heading2"/>
      </w:pPr>
      <w:r>
        <w:t>恢复到独立新实例</w:t>
      </w:r>
    </w:p>
    <w:p>
      <w:r>
        <w:t>先用 Initialize-Network.ps1 创建新实例，尚未启动时，将备份导入其 storage；成功后再启动。新实例重新生成身份和证书。以下 $restored 指向新目录，与源实例不同。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$restored = Join-Path $PWD "prototype\runtime\restore-$tag"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.\prototype\tools\Initialize-Network.ps1 -Directory $restored `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 xml:space="preserve">  -Godot $godot -Store $store -HostExecutable $gateway -Port 19650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.\services\Invoke-Store.ps1 -Operation import `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 xml:space="preserve">  -Root "$restored\storage" -StoreExecutable $store -Godot $godot `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 xml:space="preserve">  -InputFile $backup -ExpectedCommit -1 `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 xml:space="preserve">  -RequestId ([guid]::NewGuid().ToString()) `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 xml:space="preserve">  -Report "$restored\import-report.json"</w:t>
      </w:r>
    </w:p>
    <w:p>
      <w:pPr>
        <w:keepNext w:val="0"/>
        <w:spacing w:line="252" w:lineRule="auto" w:after="16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.\prototype\tools\Start-Network.ps1 -Directory $restored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402"/>
        <w:gridCol w:w="6066"/>
      </w:tblGrid>
      <w:tr>
        <w:trPr>
          <w:cantSplit/>
          <w:tblHeader/>
        </w:trPr>
        <w:tc>
          <w:tcPr>
            <w:tcW w:type="dxa" w:w="3402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19"/>
              </w:rPr>
              <w:t>现象或结果</w:t>
            </w:r>
          </w:p>
        </w:tc>
        <w:tc>
          <w:tcPr>
            <w:tcW w:type="dxa" w:w="6066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19"/>
              </w:rPr>
              <w:t>处理原则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REVISION_CONFLICT / COMMIT_CONFLICT</w:t>
            </w:r>
          </w:p>
        </w:tc>
        <w:tc>
          <w:tcPr>
            <w:tcW w:type="dxa" w:w="606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分别检查世界修订或存储提交冲突，保留未保存输入，加载新状态后决定重做。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等待资产 / CONTENT_*</w:t>
            </w:r>
          </w:p>
        </w:tc>
        <w:tc>
          <w:tcPr>
            <w:tcW w:type="dxa" w:w="6066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检查字节、摘要与服务端内容；修复或用有效备份恢复后重试。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MAINTENANCE_REQUIRED / 结果未知</w:t>
            </w:r>
          </w:p>
        </w:tc>
        <w:tc>
          <w:tcPr>
            <w:tcW w:type="dxa" w:w="606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保留数据库、日志和原请求 ID；停止后续写入，查询已有回执，查明未知存储结果或回执上限。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无法登录 / 服务无法启动</w:t>
            </w:r>
          </w:p>
        </w:tc>
        <w:tc>
          <w:tcPr>
            <w:tcW w:type="dxa" w:w="6066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核对地址、令牌期限、三个端口和运行时；依次查看导入日志、authority.log 和网关日志。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  <w:pageBreakBefore/>
        <w:spacing w:before="0"/>
      </w:pPr>
      <w:r>
        <w:t>十一 验证基线与复现入口</w:t>
      </w:r>
    </w:p>
    <w:p>
      <w:r>
        <w:t>现有完整记录日期为 2026年9月16日。各测试均使用独立实例、数据库和端口；数字表示各套件检查结果，不相加解释为覆盖率。截图和原始报告保存在 docs/comparisons/evidence/v5-20260916/。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721"/>
        <w:gridCol w:w="1984"/>
        <w:gridCol w:w="4762"/>
      </w:tblGrid>
      <w:tr>
        <w:trPr>
          <w:cantSplit/>
          <w:tblHeader/>
        </w:trPr>
        <w:tc>
          <w:tcPr>
            <w:tcW w:type="dxa" w:w="2721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检查组</w:t>
            </w:r>
          </w:p>
        </w:tc>
        <w:tc>
          <w:tcPr>
            <w:tcW w:type="dxa" w:w="1984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已记录结果</w:t>
            </w:r>
          </w:p>
        </w:tc>
        <w:tc>
          <w:tcPr>
            <w:tcW w:type="dxa" w:w="4762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覆盖重点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原生领域与真实物理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191 / 191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对象、组、地形、旧格式、存储与实际碰撞。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离线界面</w:t>
            </w:r>
          </w:p>
        </w:tc>
        <w:tc>
          <w:tcPr>
            <w:tcW w:type="dxa" w:w="1984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66 / 66</w:t>
            </w:r>
          </w:p>
        </w:tc>
        <w:tc>
          <w:tcPr>
            <w:tcW w:type="dxa" w:w="4762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控件与实际操作；其中7项生成截图，另行目视检查。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网络数据合同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16 / 16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只读副本、序列/世代、删除、校验与非法消息。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SQLite 独立进程</w:t>
            </w:r>
          </w:p>
        </w:tc>
        <w:tc>
          <w:tcPr>
            <w:tcW w:type="dxa" w:w="1984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53 / 53</w:t>
            </w:r>
          </w:p>
        </w:tc>
        <w:tc>
          <w:tcPr>
            <w:tcW w:type="dxa" w:w="4762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竞争、迁移回滚、持久回执、资产和进程中断。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权威服务与双桌面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64 / 64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实际客户端、权限、移动、冲突、重复请求和恢复。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Chromium / Firefox</w:t>
            </w:r>
          </w:p>
        </w:tc>
        <w:tc>
          <w:tcPr>
            <w:tcW w:type="dxa" w:w="1984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75通过 1失败</w:t>
            </w:r>
          </w:p>
        </w:tc>
        <w:tc>
          <w:tcPr>
            <w:tcW w:type="dxa" w:w="4762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两内核功能与冷启动；失败项为 Firefox 启动预算。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离线包与正式入口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11 / 11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428文件摘要、首次导入、两个窗口和原实例重启。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本地完整 V5 自动化</w:t>
      </w:r>
    </w:p>
    <w:p>
      <w:r>
        <w:t>需要交互式 Windows 桌面、固定引擎及模板、SDK 8.0.424、Python、Node 24 与 Playwright 1.62.1 及所需浏览器。依赖应预先可用；运行目录必须全新，起始端口以及其后续实例端口必须空闲。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$checks = Join-Path $PWD ('prototype\runtime\acceptance-' + `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 xml:space="preserve">  [guid]::NewGuid().ToString('N'))</w:t>
      </w:r>
    </w:p>
    <w:p>
      <w:pPr>
        <w:keepNext/>
        <w:spacing w:line="252" w:lineRule="auto" w:after="2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>.\prototype\tools\Test-V5.ps1 -Godot $godot -Template $template `</w:t>
      </w:r>
    </w:p>
    <w:p>
      <w:pPr>
        <w:keepNext w:val="0"/>
        <w:spacing w:line="252" w:lineRule="auto" w:after="160"/>
      </w:pPr>
      <w:r>
        <w:rPr>
          <w:rFonts w:ascii="Consolas" w:hAnsi="Consolas" w:eastAsia="Consolas" w:cs="Consolas"/>
          <w:b w:val="0"/>
          <w:i w:val="0"/>
          <w:color w:val="000000"/>
          <w:sz w:val="18"/>
        </w:rPr>
        <w:t xml:space="preserve">  -Directory $checks -Port 19750 -Python 'python' -Node 'node'</w:t>
      </w:r>
    </w:p>
    <w:p>
      <w:r>
        <w:t>脚本依次构建服务、运行仓储与原生界面检查、网络数据测试、双桌面验证、Web 导出和双浏览器检查。现有性能失败会使此入口失败；不能通过只报告前面通过的套件宣布整体通过。正式离线安装与启动验收另有独立证据，并非此脚本全部覆盖。</w:t>
      </w:r>
    </w:p>
    <w:p>
      <w:pPr>
        <w:pStyle w:val="Heading2"/>
      </w:pPr>
      <w:r>
        <w:t>按修改范围选择检查</w:t>
      </w:r>
    </w:p>
    <w:p>
      <w:r>
        <w:t>领域或资产修改先检查原生数据、存储和物理；网络修改增加网络数据与双桌面；UI 修改运行 Test-RegionLab.ps1 -Visual 并检查实际图片；Web 修改运行双浏览器完整功能和同条件冷启动。新增测试应说明要捕捉的失败情形。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Test-V5.ps1 的主要输出含 store-tests/report.json、network-data.json、native-network/report.json 和 web-tests/report.json；原生/界面报告另在 prototype/test-results/run-*。GitHub 工作流要求 region-lab-gpu 自托管 Windows 执行机，目前尚未远程运行。</w:t>
      </w:r>
    </w:p>
    <w:p>
      <w:pPr>
        <w:pStyle w:val="Heading1"/>
        <w:pageBreakBefore/>
        <w:spacing w:before="0"/>
      </w:pPr>
      <w:r>
        <w:t>十二 性能结果和当前已知边界</w:t>
      </w:r>
    </w:p>
    <w:p>
      <w:pPr>
        <w:pStyle w:val="Heading2"/>
      </w:pPr>
      <w:r>
        <w:t>尚未关闭的 V5 验收项</w:t>
      </w:r>
    </w:p>
    <w:p>
      <w:r>
        <w:t>V5.1-06 的门槛是在 50 Mbps 条件下 10 秒内可交互。固定场景为 44 对象、15 部件展馆组与一栋真实来源建筑。每次冷测新建浏览器进程和临时配置，从导航计时至认证、必要资产、真实碰撞和首个可操作渲染状态完成。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417"/>
        <w:gridCol w:w="4309"/>
        <w:gridCol w:w="1247"/>
        <w:gridCol w:w="1247"/>
        <w:gridCol w:w="1247"/>
      </w:tblGrid>
      <w:tr>
        <w:trPr>
          <w:cantSplit/>
          <w:tblHeader/>
        </w:trPr>
        <w:tc>
          <w:tcPr>
            <w:tcW w:type="dxa" w:w="1417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19"/>
              </w:rPr>
              <w:t>浏览器</w:t>
            </w:r>
          </w:p>
        </w:tc>
        <w:tc>
          <w:tcPr>
            <w:tcW w:type="dxa" w:w="4309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19"/>
              </w:rPr>
              <w:t>五次冷启动 秒</w:t>
            </w:r>
          </w:p>
        </w:tc>
        <w:tc>
          <w:tcPr>
            <w:tcW w:type="dxa" w:w="1247"/>
            <w:vAlign w:val="center"/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19"/>
              </w:rPr>
              <w:t>中位数</w:t>
            </w:r>
          </w:p>
        </w:tc>
        <w:tc>
          <w:tcPr>
            <w:tcW w:type="dxa" w:w="1247"/>
            <w:vAlign w:val="center"/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19"/>
              </w:rPr>
              <w:t>热启动</w:t>
            </w:r>
          </w:p>
        </w:tc>
        <w:tc>
          <w:tcPr>
            <w:tcW w:type="dxa" w:w="1247"/>
            <w:vAlign w:val="center"/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19"/>
              </w:rPr>
              <w:t>≤10秒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Chromium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8.869 / 7.615 / 7.641 / 7.639 / 7.624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7.639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3.619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5/5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Firefox</w:t>
            </w:r>
          </w:p>
        </w:tc>
        <w:tc>
          <w:tcPr>
            <w:tcW w:type="dxa" w:w="4309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10.678 / 10.377 / 10.395 / 10.236 / 10.282</w:t>
            </w:r>
          </w:p>
        </w:tc>
        <w:tc>
          <w:tcPr>
            <w:tcW w:type="dxa" w:w="1247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10.377</w:t>
            </w:r>
          </w:p>
        </w:tc>
        <w:tc>
          <w:tcPr>
            <w:tcW w:type="dxa" w:w="1247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8.558</w:t>
            </w:r>
          </w:p>
        </w:tc>
        <w:tc>
          <w:tcPr>
            <w:tcW w:type="dxa" w:w="1247"/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9"/>
              </w:rPr>
              <w:t>0/5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该基线使用 Windows 11、Core Ultra 7 255HX、约16 GB内存；桌面为 RTX 5060 Laptop GPU，浏览器报告 Intel 图形及 ANGLE D3D11。浏览器版本为 Chromium 151.0.7922.34 和 Firefox 153.0。50 Mbps 由本机网关响应体节流实现，未模拟互联网时延、抖动和丢包，也未清操作系统及驱动缓存。</w:t>
      </w:r>
    </w:p>
    <w:p>
      <w:r>
        <w:t>已做压缩传输、投影摘要缓存、碰撞构建避免 GPU 回读和轻量 Web 光照。后续继续定位 Firefox 的 WebAssembly、首帧及渲染初始化，并保留同场景、同带宽、每内核至少五次独立冷样本；热启动不能替代冷启动。</w:t>
      </w:r>
    </w:p>
    <w:p>
      <w:pPr>
        <w:pStyle w:val="Heading2"/>
      </w:pPr>
      <w:r>
        <w:t>功能边界和未验证条件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757"/>
        <w:gridCol w:w="7710"/>
      </w:tblGrid>
      <w:tr>
        <w:trPr>
          <w:cantSplit/>
          <w:tblHeader/>
        </w:trPr>
        <w:tc>
          <w:tcPr>
            <w:tcW w:type="dxa" w:w="1757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方面</w:t>
            </w:r>
          </w:p>
        </w:tc>
        <w:tc>
          <w:tcPr>
            <w:tcW w:type="dxa" w:w="7710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当前交付边界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规模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单区域；只验收两个实际客户端。8会话、500部件与16导入资产是配置/输入上限，不是容量承诺。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浏览器及网络</w:t>
            </w:r>
          </w:p>
        </w:tc>
        <w:tc>
          <w:tcPr>
            <w:tcW w:type="dxa" w:w="7710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Chromium/Firefox 本机验证；长期真实后台、系统休眠、高 DPI 专项、公网部署和低带宽稳态待验证。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数据恢复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进程终止和搬移恢复已有证据；硬件断电、网络磁盘和多机并发目录没有验证。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人物及权限</w:t>
            </w:r>
          </w:p>
        </w:tc>
        <w:tc>
          <w:tcPr>
            <w:tcW w:type="dxa" w:w="7710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胶囊角色、测试身份和最小授权；正式账户、SSO、会话撤销、完整库存和人物外观体系待实现。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兼容与内容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没有现代 Firestorm 服务、完整 LSL/OSSL、OAR、CAD/BIM、摄影测量通用导入、跨区域或 Hypergrid。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智能与科学应用</w:t>
            </w:r>
          </w:p>
        </w:tc>
        <w:tc>
          <w:tcPr>
            <w:tcW w:type="dxa" w:w="7710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原版受控 Bot 已验证；现代区域 Agent 执行器、在线模型、真实平台、专家标注和正式实验回放待完成。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多端与高级技术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WebGPU、QUIC、LOD/地形分块、语音、移动端、XR、Linux及国产目标硬件尚未交付验证。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后台测试包含实际窗口最小化和确定性帧暂停，不能代表所有普通浏览器的后台节流。100 Avatar、1000 可见实体、5000 区域实体及同城 P99 延迟等仍是后续目标。</w:t>
      </w:r>
    </w:p>
    <w:p>
      <w:pPr>
        <w:pStyle w:val="Heading1"/>
        <w:pageBreakBefore/>
        <w:spacing w:before="0"/>
      </w:pPr>
      <w:r>
        <w:t>十三 原版对照与融合接口边界</w:t>
      </w:r>
    </w:p>
    <w:p>
      <w:r>
        <w:t>原版 OpenSimulator 是独立对照环境。integration/opensim/ 锁定 0.9.3.0 及上游提交，通过 Region 模块与协议 Bot 验证状态、动作、事件及回执，并用 Firestorm 对照两部件组合的建立、复制、解除和重启。现代区域使用自己的领域记录与数据库，两者目前没有实时双向镜像。</w:t>
      </w:r>
    </w:p>
    <w:p>
      <w:r>
        <w:t>原版路径使用 FP 0.2，现代网络路径为 FP 0.3。两套端点、世代和授权不能互换。原版受控 Bot 的经验可供后续动作执行器参考，但不能直接认定现代区域已经支持智能体任务。原版组 UUID 与根 UUID 相同，现代组使用独立 UUID，比较时应看合成世界变换。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134"/>
        <w:gridCol w:w="1814"/>
        <w:gridCol w:w="6520"/>
      </w:tblGrid>
      <w:tr>
        <w:trPr>
          <w:cantSplit/>
          <w:tblHeader/>
        </w:trPr>
        <w:tc>
          <w:tcPr>
            <w:tcW w:type="dxa" w:w="1134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接口类别</w:t>
            </w:r>
          </w:p>
        </w:tc>
        <w:tc>
          <w:tcPr>
            <w:tcW w:type="dxa" w:w="1814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目标能力</w:t>
            </w:r>
          </w:p>
        </w:tc>
        <w:tc>
          <w:tcPr>
            <w:tcW w:type="dxa" w:w="6520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当前落点及剩余工作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FP-01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世界状态订阅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现代已有快照、增量、删除、AOI 与重新同步。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FP-02</w:t>
            </w:r>
          </w:p>
        </w:tc>
        <w:tc>
          <w:tcPr>
            <w:tcW w:type="dxa" w:w="1814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语义事件</w:t>
            </w:r>
          </w:p>
        </w:tc>
        <w:tc>
          <w:tcPr>
            <w:tcW w:type="dxa" w:w="6520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原版已有对象等事件子集；现代增量流尚非完整语义事件总线。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FP-03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智能体生命周期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原版受控 Bot 已验证；现代 agent_ref、能力与生命周期待建。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FP-04</w:t>
            </w:r>
          </w:p>
        </w:tc>
        <w:tc>
          <w:tcPr>
            <w:tcW w:type="dxa" w:w="1814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动作执行</w:t>
            </w:r>
          </w:p>
        </w:tc>
        <w:tc>
          <w:tcPr>
            <w:tcW w:type="dxa" w:w="6520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原版受控移动/转向等子集；现代只有人的输入与编辑命令，完整任务执行器待建。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FP-05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操作回执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两条路径各有回执；V5 持久编辑成功支持重启查询和幂等。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FP-06</w:t>
            </w:r>
          </w:p>
        </w:tc>
        <w:tc>
          <w:tcPr>
            <w:tcW w:type="dxa" w:w="1814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状态回注</w:t>
            </w:r>
          </w:p>
        </w:tc>
        <w:tc>
          <w:tcPr>
            <w:tcW w:type="dxa" w:w="6520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现代已有领域修改入口；模型来源、时间、实验分支和批次回注待建。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FP-07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角色会话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V5 测试身份与权限已用；正式账户、库存、SSO和撤销待建。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FP-08</w:t>
            </w:r>
          </w:p>
        </w:tc>
        <w:tc>
          <w:tcPr>
            <w:tcW w:type="dxa" w:w="1814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实验控制</w:t>
            </w:r>
          </w:p>
        </w:tc>
        <w:tc>
          <w:tcPr>
            <w:tcW w:type="dxa" w:w="6520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V4 有最小运行档案；现代实验创建、暂停、分支与回放待建。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FP-09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评测与遥测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已有测试和观察输出；真实平台完整实验数据管线待贯通。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后续平台对接采用的边界</w:t>
      </w:r>
    </w:p>
    <w:p>
      <w:r>
        <w:t>外部模型提供带版本、时间、坐标与单位的观测或预测；适配层负责映射为受支持的场景命令。智能体提交有身份、截止时间和可追踪结果的动作。任务执行、反馈与回放分别建立合同，避免把可视化画面或一次成功 API 调用当成完整实验。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原版搭建、Bot 的固定依赖与已知补丁见 integration/README.md 和 reference.lock.json/client.lock.json。该运行路径有专用实例及私有配置，应与现代网络实例分开。</w:t>
      </w:r>
    </w:p>
    <w:p>
      <w:pPr>
        <w:pStyle w:val="Heading1"/>
        <w:pageBreakBefore/>
        <w:spacing w:before="0"/>
      </w:pPr>
      <w:r>
        <w:t>十四 在现有系统上继续开发</w:t>
      </w:r>
    </w:p>
    <w:p>
      <w:pPr>
        <w:pStyle w:val="Heading2"/>
      </w:pPr>
      <w:r>
        <w:t>先明确变更属于哪一层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814"/>
        <w:gridCol w:w="3402"/>
        <w:gridCol w:w="4252"/>
      </w:tblGrid>
      <w:tr>
        <w:trPr>
          <w:cantSplit/>
          <w:tblHeader/>
        </w:trPr>
        <w:tc>
          <w:tcPr>
            <w:tcW w:type="dxa" w:w="1814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新增需求</w:t>
            </w:r>
          </w:p>
        </w:tc>
        <w:tc>
          <w:tcPr>
            <w:tcW w:type="dxa" w:w="3402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优先修改位置</w:t>
            </w:r>
          </w:p>
        </w:tc>
        <w:tc>
          <w:tcPr>
            <w:tcW w:type="dxa" w:w="4252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必须同时检查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对象或地形新字段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world_schema / world_model / world_service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旧数据迁移、原生校验、存储往返、投影和 UI。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网络新命令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network/server 与领域 Service</w:t>
            </w:r>
          </w:p>
        </w:tc>
        <w:tc>
          <w:tcPr>
            <w:tcW w:type="dxa" w:w="4252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白名单、授权、请求身份、冲突和持久回执；禁止客户端覆盖完整世界。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新交互或表现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client / network/client / adapters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领域规则保持一致；显示、拾取与真实碰撞能对应。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模型格式扩展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glb_reader / mesh_assets / asset_loader</w:t>
            </w:r>
          </w:p>
        </w:tc>
        <w:tc>
          <w:tcPr>
            <w:tcW w:type="dxa" w:w="4252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格式与大小预算、摘要、授权、缺失处理、离线和网络恢复。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账户与库存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新增身份和库存领域合同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主体/角色/资产/库存条目分别建模；会话撤销与重启恢复。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智能体与外部模型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新增适配器和动作执行层</w:t>
            </w:r>
          </w:p>
        </w:tc>
        <w:tc>
          <w:tcPr>
            <w:tcW w:type="dxa" w:w="4252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策略输出转为校验过的命令；取消、超时、人工接管和失败结果。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建议的单项变更流程</w:t>
      </w:r>
    </w:p>
    <w:p>
      <w:r>
        <w:t>1  核对基线与现有未通过项，再创建 codex/ 分支。保留用户工作区和存档，所有测试采用唯一目录与空闲端口。</w:t>
      </w:r>
    </w:p>
    <w:p>
      <w:r>
        <w:t>2  先写清一项可观察的成功行为和失败行为，明确数据、权限、版本与恢复影响，再修改代码。</w:t>
      </w:r>
    </w:p>
    <w:p>
      <w:r>
        <w:t>3  数据变更先在候选世界验证，通过 WorldService 提交；网络侧保留世代、修订、请求去重和资产检查。</w:t>
      </w:r>
    </w:p>
    <w:p>
      <w:r>
        <w:t>4  运行与改动对应的原生、存储、物理、网络或界面测试。UI 要查看真实截图；脚本成功退出不等于界面可用。</w:t>
      </w:r>
    </w:p>
    <w:p>
      <w:r>
        <w:t>5  同步更新合同、运行说明与验收证据；分别说明已运行、已通过、未支持以及仍失败的内容。</w:t>
      </w:r>
    </w:p>
    <w:p>
      <w:pPr>
        <w:pStyle w:val="Heading2"/>
      </w:pPr>
      <w:r>
        <w:t>几个容易产生错误理解的地方</w:t>
      </w:r>
    </w:p>
    <w:p>
      <w:r>
        <w:t>assets 表是区域内容登记，不是用户库存；LocalWorldView 是只读显示投影，不是权威世界；服务端显示 pending 不是持久成功；流中位置摘要使用数值规范化，不能替代 GLB 字节的精确 SHA256。网络层的持久去重也不能用离线 Service 的内存请求缓存代替。</w:t>
      </w:r>
    </w:p>
    <w:p>
      <w:r>
        <w:t>架构与接口旧文档部分章节仍标注 0.4.2 或 0.3.1。其中“尚无网络认证”等描述适用于离线接口的历史语境。当前网络行为优先核对 network-v5.md、0.5.1 代码和 V5 验收记录；世界和组合字段继续使用其已验证合同。</w:t>
      </w:r>
    </w:p>
    <w:p>
      <w:pPr>
        <w:pStyle w:val="Heading1"/>
        <w:pageBreakBefore/>
        <w:spacing w:before="0"/>
      </w:pPr>
      <w:r>
        <w:t>十五 后续路线与接手完成条件</w:t>
      </w:r>
    </w:p>
    <w:p>
      <w:r>
        <w:t>后续按依赖推进，近期先关闭 V5 未通过项，再建立现代智能体任务能力，之后接入真实平台。每一阶段用可观察的任务和失败恢复结果验收；长期目标不直接作为当前容量或工期承诺。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361"/>
        <w:gridCol w:w="3912"/>
        <w:gridCol w:w="4195"/>
      </w:tblGrid>
      <w:tr>
        <w:trPr>
          <w:cantSplit/>
          <w:tblHeader/>
        </w:trPr>
        <w:tc>
          <w:tcPr>
            <w:tcW w:type="dxa" w:w="1361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阶段</w:t>
            </w:r>
          </w:p>
        </w:tc>
        <w:tc>
          <w:tcPr>
            <w:tcW w:type="dxa" w:w="3912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下一步交付</w:t>
            </w:r>
          </w:p>
        </w:tc>
        <w:tc>
          <w:tcPr>
            <w:tcW w:type="dxa" w:w="4195"/>
            <w:vAlign w:val="center"/>
            <w:shd w:fill="DCE6F1"/>
          </w:tcPr>
          <w:p>
            <w:pPr>
              <w:spacing w:after="0" w:line="264" w:lineRule="auto"/>
            </w:pPr>
            <w:r>
              <w:rPr>
                <w:rFonts w:ascii="黑体" w:hAnsi="黑体" w:eastAsia="黑体" w:cs="黑体"/>
                <w:b/>
                <w:i w:val="0"/>
                <w:color w:val="000000"/>
                <w:sz w:val="20"/>
              </w:rPr>
              <w:t>验收应看到的结果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V5 收尾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Firefox 启动定位、双内核复验、实际 CI 运行及后台专项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固定条件下每内核至少5次冷启动满足预算；功能与失败恢复保持正确。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V6.0</w:t>
            </w:r>
          </w:p>
        </w:tc>
        <w:tc>
          <w:tcPr>
            <w:tcW w:type="dxa" w:w="3912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账户/Avatar 绑定、最小库存、Agent 生命周期、动作执行与人工接管</w:t>
            </w:r>
          </w:p>
        </w:tc>
        <w:tc>
          <w:tcPr>
            <w:tcW w:type="dxa" w:w="4195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一名人类与一个现代 Bot 进入建筑、查询对象和操作门灯；中断、权限拒绝和模型失败都有终态。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V6.1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真实预测映射、场景回注、专家标注、实验记录与回放比较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真实输入改变场景；人机任务、反馈和遥测可回传并独立检查。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V7.0—7.1</w:t>
            </w:r>
          </w:p>
        </w:tc>
        <w:tc>
          <w:tcPr>
            <w:tcW w:type="dxa" w:w="3912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有来源的小片区、OAR 子集、内容加工、分块与画质</w:t>
            </w:r>
          </w:p>
        </w:tc>
        <w:tc>
          <w:tcPr>
            <w:tcW w:type="dxa" w:w="4195"/>
            <w:vAlign w:val="center"/>
            <w:shd w:fill="F5F7FA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固定资产独立导入恢复，边界碰撞和加载卸载正确；指定设备达到资源预算。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V8.0—8.1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分级容量、区域交接、第二科学场景与多端部署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逐级验证负载、恢复与跨区域归属；每个平台及硬件都有独立结果。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最适合接手者开始的工作</w:t>
      </w:r>
    </w:p>
    <w:p>
      <w:r>
        <w:t>先在新目录完成双桌面启动、一次共享编辑和一次备份恢复，熟悉权威提交与数据位置；再选择 Firefox 冷启动分析或 V6.0 身份/库存合同作为第一项工作。前者已有固定复现条件，后者需要先确定数据与权限，避免直接把测试令牌扩写成正式账户体系。</w:t>
      </w:r>
    </w:p>
    <w:p>
      <w:pPr>
        <w:pStyle w:val="Heading2"/>
      </w:pPr>
      <w:r>
        <w:t>接手检查清单</w:t>
      </w:r>
    </w:p>
    <w:p>
      <w:r>
        <w:t>1  能说明三条入口的差别：离线编辑器、现代网络服务、原版 OpenSim 对照。</w:t>
      </w:r>
    </w:p>
    <w:p>
      <w:r>
        <w:t>2  能找到自己的实例、数据库、日志与版本基线；有可在另一目录恢复的备份。</w:t>
      </w:r>
    </w:p>
    <w:p>
      <w:r>
        <w:t>3  能演示两个客户端共享编辑，并解释冲突、结果未知与原请求查询。</w:t>
      </w:r>
    </w:p>
    <w:p>
      <w:r>
        <w:t>4  能找到相应代码和测试报告，确认 Firefox 性能项仍未关闭。</w:t>
      </w:r>
    </w:p>
    <w:p>
      <w:r>
        <w:t>5  已选定一项有边界的后续任务，列清成功条件、失败条件和外部依赖。</w:t>
      </w:r>
    </w:p>
    <w:p>
      <w:r>
        <w:t>真实平台接入前还需要项目层明确首个科学任务、实际接口及样本数据、坐标和时间约定、授权资产与目标运行环境。“洪涝水位与道路阻断”可作为候选场景；模拟数据只能证明工程流程，不能替代真实平台联调。</w:t>
      </w:r>
    </w:p>
    <w:p>
      <w:pPr>
        <w:pStyle w:val="Heading1"/>
        <w:pageBreakBefore/>
        <w:spacing w:before="0"/>
      </w:pPr>
      <w:r>
        <w:t>十六 文档索引与基线使用说明</w:t>
      </w:r>
    </w:p>
    <w:p>
      <w:r>
        <w:t>以下链接固定到本文源码提交，便于接手者复核。运行命令按仓库根目录解释；文档中“已验证”均对应已有记录，“后续”均为计划。项目总体方向由前两份原始材料确定，具体交付状态以代码、合同及实际证据为准。</w:t>
      </w:r>
    </w:p>
    <w:p>
      <w:pPr>
        <w:spacing w:after="120" w:line="264" w:lineRule="auto"/>
      </w:pPr>
      <w:hyperlink r:id="rId13">
        <w:r>
          <w:rPr>
            <w:rFonts w:eastAsia="宋体" w:ascii="Arial"/>
            <w:color w:val="174A75"/>
            <w:sz w:val="19"/>
          </w:rPr>
          <w:t>总体集成目标</w:t>
        </w:r>
      </w:hyperlink>
      <w:r>
        <w:rPr>
          <w:rFonts w:ascii="宋体" w:hAnsi="宋体" w:eastAsia="宋体" w:cs="宋体"/>
          <w:b w:val="0"/>
          <w:i w:val="0"/>
          <w:color w:val="000000"/>
          <w:sz w:val="20"/>
        </w:rPr>
        <w:t xml:space="preserve">  现实观测、世界模型、虚拟场景、人机协作与实验反馈的总体布局。</w:t>
      </w:r>
    </w:p>
    <w:p>
      <w:pPr>
        <w:spacing w:after="120" w:line="264" w:lineRule="auto"/>
      </w:pPr>
      <w:hyperlink r:id="rId14">
        <w:r>
          <w:rPr>
            <w:rFonts w:eastAsia="宋体" w:ascii="Arial"/>
            <w:color w:val="174A75"/>
            <w:sz w:val="19"/>
          </w:rPr>
          <w:t>轻客户端技术方案</w:t>
        </w:r>
      </w:hyperlink>
      <w:r>
        <w:rPr>
          <w:rFonts w:ascii="宋体" w:hAnsi="宋体" w:eastAsia="宋体" w:cs="宋体"/>
          <w:b w:val="0"/>
          <w:i w:val="0"/>
          <w:color w:val="000000"/>
          <w:sz w:val="20"/>
        </w:rPr>
        <w:t xml:space="preserve">  服务端权威、客户端表现、同步、资产和性能目标；未落地技术仍按研究项处理。</w:t>
      </w:r>
    </w:p>
    <w:p>
      <w:pPr>
        <w:spacing w:after="120" w:line="264" w:lineRule="auto"/>
      </w:pPr>
      <w:hyperlink r:id="rId15">
        <w:r>
          <w:rPr>
            <w:rFonts w:eastAsia="宋体" w:ascii="Arial"/>
            <w:color w:val="174A75"/>
            <w:sz w:val="19"/>
          </w:rPr>
          <w:t>V5 网络运行指南</w:t>
        </w:r>
      </w:hyperlink>
      <w:r>
        <w:rPr>
          <w:rFonts w:ascii="宋体" w:hAnsi="宋体" w:eastAsia="宋体" w:cs="宋体"/>
          <w:b w:val="0"/>
          <w:i w:val="0"/>
          <w:color w:val="000000"/>
          <w:sz w:val="20"/>
        </w:rPr>
        <w:t xml:space="preserve">  构建、桌面、Web、会话、停止及常见问题的日常入口。</w:t>
      </w:r>
    </w:p>
    <w:p>
      <w:pPr>
        <w:spacing w:after="120" w:line="264" w:lineRule="auto"/>
      </w:pPr>
      <w:hyperlink r:id="rId16">
        <w:r>
          <w:rPr>
            <w:rFonts w:eastAsia="宋体" w:ascii="Arial"/>
            <w:color w:val="174A75"/>
            <w:sz w:val="19"/>
          </w:rPr>
          <w:t>FP 0.3 网络合同</w:t>
        </w:r>
      </w:hyperlink>
      <w:r>
        <w:rPr>
          <w:rFonts w:ascii="宋体" w:hAnsi="宋体" w:eastAsia="宋体" w:cs="宋体"/>
          <w:b w:val="0"/>
          <w:i w:val="0"/>
          <w:color w:val="000000"/>
          <w:sz w:val="20"/>
        </w:rPr>
        <w:t xml:space="preserve">  命令字段、握手、序列、世代、回执、权限、AOI与资产检查。</w:t>
      </w:r>
    </w:p>
    <w:p>
      <w:pPr>
        <w:spacing w:after="120" w:line="264" w:lineRule="auto"/>
      </w:pPr>
      <w:hyperlink r:id="rId17">
        <w:r>
          <w:rPr>
            <w:rFonts w:eastAsia="宋体" w:ascii="Arial"/>
            <w:color w:val="174A75"/>
            <w:sz w:val="19"/>
          </w:rPr>
          <w:t>存储合同与管理指南</w:t>
        </w:r>
      </w:hyperlink>
      <w:r>
        <w:rPr>
          <w:rFonts w:ascii="宋体" w:hAnsi="宋体" w:eastAsia="宋体" w:cs="宋体"/>
          <w:b w:val="0"/>
          <w:i w:val="0"/>
          <w:color w:val="000000"/>
          <w:sz w:val="20"/>
        </w:rPr>
        <w:t xml:space="preserve">  世界事务、内容文件、迁移和导出格式，末尾含 schema 3 补充。</w:t>
      </w:r>
    </w:p>
    <w:p>
      <w:pPr>
        <w:spacing w:after="120" w:line="264" w:lineRule="auto"/>
      </w:pPr>
      <w:hyperlink r:id="rId18">
        <w:r>
          <w:rPr>
            <w:rFonts w:eastAsia="宋体" w:ascii="Arial"/>
            <w:color w:val="174A75"/>
            <w:sz w:val="19"/>
          </w:rPr>
          <w:t>RegionStore 与 RegionHost 指南</w:t>
        </w:r>
      </w:hyperlink>
      <w:r>
        <w:rPr>
          <w:rFonts w:ascii="宋体" w:hAnsi="宋体" w:eastAsia="宋体" w:cs="宋体"/>
          <w:b w:val="0"/>
          <w:i w:val="0"/>
          <w:color w:val="000000"/>
          <w:sz w:val="20"/>
        </w:rPr>
        <w:t xml:space="preserve">  构建、迁移、备份恢复、离线包及错误处理命令。</w:t>
      </w:r>
    </w:p>
    <w:p>
      <w:pPr>
        <w:spacing w:after="120" w:line="264" w:lineRule="auto"/>
      </w:pPr>
      <w:hyperlink r:id="rId19">
        <w:r>
          <w:rPr>
            <w:rFonts w:eastAsia="宋体" w:ascii="Arial"/>
            <w:color w:val="174A75"/>
            <w:sz w:val="19"/>
          </w:rPr>
          <w:t>V5 实现与验收记录</w:t>
        </w:r>
      </w:hyperlink>
      <w:r>
        <w:rPr>
          <w:rFonts w:ascii="宋体" w:hAnsi="宋体" w:eastAsia="宋体" w:cs="宋体"/>
          <w:b w:val="0"/>
          <w:i w:val="0"/>
          <w:color w:val="000000"/>
          <w:sz w:val="20"/>
        </w:rPr>
        <w:t xml:space="preserve">  逐项通过/未通过、原始结果、部署与测量条件。</w:t>
      </w:r>
    </w:p>
    <w:p>
      <w:pPr>
        <w:spacing w:after="120" w:line="264" w:lineRule="auto"/>
      </w:pPr>
      <w:hyperlink r:id="rId20">
        <w:r>
          <w:rPr>
            <w:rFonts w:eastAsia="宋体" w:ascii="Arial"/>
            <w:color w:val="174A75"/>
            <w:sz w:val="19"/>
          </w:rPr>
          <w:t>V5 原始证据目录</w:t>
        </w:r>
      </w:hyperlink>
      <w:r>
        <w:rPr>
          <w:rFonts w:ascii="宋体" w:hAnsi="宋体" w:eastAsia="宋体" w:cs="宋体"/>
          <w:b w:val="0"/>
          <w:i w:val="0"/>
          <w:color w:val="000000"/>
          <w:sz w:val="20"/>
        </w:rPr>
        <w:t xml:space="preserve">  网络、存储、浏览器、硬件与部署报告，以及实际截图。</w:t>
      </w:r>
    </w:p>
    <w:p>
      <w:pPr>
        <w:spacing w:after="120" w:line="264" w:lineRule="auto"/>
      </w:pPr>
      <w:hyperlink r:id="rId21">
        <w:r>
          <w:rPr>
            <w:rFonts w:eastAsia="宋体" w:ascii="Arial"/>
            <w:color w:val="174A75"/>
            <w:sz w:val="19"/>
          </w:rPr>
          <w:t>领域架构与接口</w:t>
        </w:r>
      </w:hyperlink>
      <w:r>
        <w:rPr>
          <w:rFonts w:ascii="宋体" w:hAnsi="宋体" w:eastAsia="宋体" w:cs="宋体"/>
          <w:b w:val="0"/>
          <w:i w:val="0"/>
          <w:color w:val="000000"/>
          <w:sz w:val="20"/>
        </w:rPr>
        <w:t xml:space="preserve">  世界格式3、本地命令1和离线 Service 合同；旧版范围按第15页说明阅读。</w:t>
      </w:r>
    </w:p>
    <w:p>
      <w:pPr>
        <w:spacing w:after="120" w:line="264" w:lineRule="auto"/>
      </w:pPr>
      <w:hyperlink r:id="rId22">
        <w:r>
          <w:rPr>
            <w:rFonts w:eastAsia="宋体" w:ascii="Arial"/>
            <w:color w:val="174A75"/>
            <w:sz w:val="19"/>
          </w:rPr>
          <w:t>组合与资产规范</w:t>
        </w:r>
      </w:hyperlink>
      <w:r>
        <w:rPr>
          <w:rFonts w:ascii="宋体" w:hAnsi="宋体" w:eastAsia="宋体" w:cs="宋体"/>
          <w:b w:val="0"/>
          <w:i w:val="0"/>
          <w:color w:val="000000"/>
          <w:sz w:val="20"/>
        </w:rPr>
        <w:t xml:space="preserve">  组局部变换、GLB支持子集、许可来源与边界。</w:t>
      </w:r>
    </w:p>
    <w:p>
      <w:pPr>
        <w:spacing w:after="120" w:line="264" w:lineRule="auto"/>
      </w:pPr>
      <w:hyperlink r:id="rId23">
        <w:r>
          <w:rPr>
            <w:rFonts w:eastAsia="宋体" w:ascii="Arial"/>
            <w:color w:val="174A75"/>
            <w:sz w:val="19"/>
          </w:rPr>
          <w:t>OpenSim 数据对应</w:t>
        </w:r>
      </w:hyperlink>
      <w:r>
        <w:rPr>
          <w:rFonts w:ascii="宋体" w:hAnsi="宋体" w:eastAsia="宋体" w:cs="宋体"/>
          <w:b w:val="0"/>
          <w:i w:val="0"/>
          <w:color w:val="000000"/>
          <w:sz w:val="20"/>
        </w:rPr>
        <w:t xml:space="preserve">  现代数据与原版入口、差异与尚未支持的语义。</w:t>
      </w:r>
    </w:p>
    <w:p>
      <w:pPr>
        <w:spacing w:after="120" w:line="264" w:lineRule="auto"/>
      </w:pPr>
      <w:hyperlink r:id="rId24">
        <w:r>
          <w:rPr>
            <w:rFonts w:eastAsia="宋体" w:ascii="Arial"/>
            <w:color w:val="174A75"/>
            <w:sz w:val="19"/>
          </w:rPr>
          <w:t>原版集成与 V4 验证</w:t>
        </w:r>
      </w:hyperlink>
      <w:r>
        <w:rPr>
          <w:rFonts w:ascii="宋体" w:hAnsi="宋体" w:eastAsia="宋体" w:cs="宋体"/>
          <w:b w:val="0"/>
          <w:i w:val="0"/>
          <w:color w:val="000000"/>
          <w:sz w:val="20"/>
        </w:rPr>
        <w:t xml:space="preserve">  固定原版、模块、Bot与两部件对照步骤；完整结论另见 docs/comparisons/v4-completion.md。</w:t>
      </w:r>
    </w:p>
    <w:p>
      <w:pPr>
        <w:spacing w:after="120" w:line="264" w:lineRule="auto"/>
      </w:pPr>
      <w:hyperlink r:id="rId25">
        <w:r>
          <w:rPr>
            <w:rFonts w:eastAsia="宋体" w:ascii="Arial"/>
            <w:color w:val="174A75"/>
            <w:sz w:val="19"/>
          </w:rPr>
          <w:t>总体版本路线</w:t>
        </w:r>
      </w:hyperlink>
      <w:r>
        <w:rPr>
          <w:rFonts w:ascii="宋体" w:hAnsi="宋体" w:eastAsia="宋体" w:cs="宋体"/>
          <w:b w:val="0"/>
          <w:i w:val="0"/>
          <w:color w:val="000000"/>
          <w:sz w:val="20"/>
        </w:rPr>
        <w:t xml:space="preserve">  V6—V8依赖、任务和完成条件。</w:t>
      </w:r>
    </w:p>
    <w:p>
      <w:pPr>
        <w:spacing w:after="120" w:line="264" w:lineRule="auto"/>
      </w:pPr>
      <w:hyperlink r:id="rId26">
        <w:r>
          <w:rPr>
            <w:rFonts w:eastAsia="宋体" w:ascii="Arial"/>
            <w:color w:val="174A75"/>
            <w:sz w:val="19"/>
          </w:rPr>
          <w:t>目标与技术路线对齐</w:t>
        </w:r>
      </w:hyperlink>
      <w:r>
        <w:rPr>
          <w:rFonts w:ascii="宋体" w:hAnsi="宋体" w:eastAsia="宋体" w:cs="宋体"/>
          <w:b w:val="0"/>
          <w:i w:val="0"/>
          <w:color w:val="000000"/>
          <w:sz w:val="20"/>
        </w:rPr>
        <w:t xml:space="preserve">  原始方向、现有工程实现、技术调整与待验证输入。</w:t>
      </w:r>
    </w:p>
    <w:p>
      <w:pPr>
        <w:spacing w:after="120" w:line="264" w:lineRule="auto"/>
      </w:pPr>
      <w:hyperlink r:id="rId27">
        <w:r>
          <w:rPr>
            <w:rFonts w:eastAsia="宋体" w:ascii="Arial"/>
            <w:color w:val="174A75"/>
            <w:sz w:val="19"/>
          </w:rPr>
          <w:t>开发约束</w:t>
        </w:r>
      </w:hyperlink>
      <w:r>
        <w:rPr>
          <w:rFonts w:ascii="宋体" w:hAnsi="宋体" w:eastAsia="宋体" w:cs="宋体"/>
          <w:b w:val="0"/>
          <w:i w:val="0"/>
          <w:color w:val="000000"/>
          <w:sz w:val="20"/>
        </w:rPr>
        <w:t xml:space="preserve">  领域隔离、统一修改入口、独立测试目录及真实界面检查。</w:t>
      </w:r>
    </w:p>
    <w:p>
      <w:pPr>
        <w:spacing w:after="120"/>
      </w:pPr>
      <w:r>
        <w:rPr>
          <w:rFonts w:ascii="宋体" w:hAnsi="宋体" w:eastAsia="宋体" w:cs="宋体"/>
          <w:b w:val="0"/>
          <w:i w:val="0"/>
          <w:color w:val="454545"/>
          <w:sz w:val="19"/>
        </w:rPr>
        <w:t>仓库 StarryLiu1122/OpenSim；当前分支 codex/region-lab-v5；提交 b41c1b7ef82c0066e8c54b9664ceb3198e67bcce。本文不包含令牌、私钥、用户存档或测试二进制。</w:t>
      </w:r>
    </w:p>
    <w:sectPr w:rsidR="00FC693F" w:rsidRPr="0006063C" w:rsidSect="00034616">
      <w:footerReference w:type="default" r:id="rId9"/>
      <w:pgSz w:w="11906" w:h="16838"/>
      <w:pgMar w:top="1077" w:right="1191" w:bottom="1020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i w:val="0"/>
        <w:color w:val="000000"/>
        <w:sz w:val="18"/>
      </w:rPr>
      <w:t xml:space="preserve">第 </w:t>
    </w:r>
    <w:fldSimple w:instr="PAGE"/>
    <w:r>
      <w:rPr>
        <w:rFonts w:ascii="宋体" w:hAnsi="宋体" w:eastAsia="宋体" w:cs="宋体"/>
        <w:b w:val="0"/>
        <w:i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40"/>
    </w:pPr>
    <w:rPr>
      <w:rFonts w:ascii="宋体" w:hAnsi="宋体" w:eastAsia="宋体" w:cs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="黑体" w:hAnsi="黑体" w:eastAsia="黑体" w:cs="黑体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="黑体" w:hAnsi="黑体" w:eastAsia="黑体" w:cs="黑体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="黑体" w:hAnsi="黑体" w:eastAsia="黑体" w:cs="黑体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黑体" w:hAnsi="黑体" w:eastAsia="黑体" w:cs="黑体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="黑体" w:hAnsi="黑体" w:eastAsia="黑体" w:cs="黑体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spacing w:line="293" w:lineRule="auto" w:after="140"/>
      <w:ind w:left="720"/>
      <w:contextualSpacing/>
    </w:pPr>
    <w:rPr>
      <w:rFonts w:ascii="宋体" w:hAnsi="宋体" w:eastAsia="宋体" w:cs="宋体"/>
      <w:b w:val="0"/>
      <w:i w:val="0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40" w:line="293" w:lineRule="auto"/>
    </w:pPr>
    <w:rPr>
      <w:rFonts w:ascii="宋体" w:hAnsi="宋体" w:eastAsia="宋体" w:cs="宋体"/>
      <w:b w:val="0"/>
      <w:i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60"/>
    </w:pPr>
    <w:rPr>
      <w:rFonts w:ascii="宋体" w:hAnsi="宋体" w:eastAsia="宋体" w:cs="宋体"/>
      <w:b w:val="0"/>
      <w:bCs/>
      <w:i w:val="0"/>
      <w:color w:val="454545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github.com/StarryLiu1122/OpenSim/blob/b41c1b7ef82c0066e8c54b9664ceb3198e67bcce/docs/references/teacher/2026-09-15/OpenSimulator&#19982;&#19990;&#30028;&#27169;&#22411;&#26234;&#33021;&#20307;&#32593;&#32476;&#24179;&#21488;&#34701;&#21512;&#38598;&#25104;&#20998;&#26512;&#25253;&#21578;.docx" TargetMode="External"/><Relationship Id="rId14" Type="http://schemas.openxmlformats.org/officeDocument/2006/relationships/hyperlink" Target="https://github.com/StarryLiu1122/OpenSim/blob/b41c1b7ef82c0066e8c54b9664ceb3198e67bcce/docs/references/teacher/2026-09-15/&#22522;&#20110;Godot-WebGPU&#36731;&#23458;&#25143;&#31471;&#30340;&#35814;&#32454;&#25216;&#26415;&#26041;&#26696;.docx" TargetMode="External"/><Relationship Id="rId15" Type="http://schemas.openxmlformats.org/officeDocument/2006/relationships/hyperlink" Target="https://github.com/StarryLiu1122/OpenSim/blob/b41c1b7ef82c0066e8c54b9664ceb3198e67bcce/prototype/docs/network-quickstart.md" TargetMode="External"/><Relationship Id="rId16" Type="http://schemas.openxmlformats.org/officeDocument/2006/relationships/hyperlink" Target="https://github.com/StarryLiu1122/OpenSim/blob/b41c1b7ef82c0066e8c54b9664ceb3198e67bcce/docs/contracts/network-v5.md" TargetMode="External"/><Relationship Id="rId17" Type="http://schemas.openxmlformats.org/officeDocument/2006/relationships/hyperlink" Target="https://github.com/StarryLiu1122/OpenSim/blob/b41c1b7ef82c0066e8c54b9664ceb3198e67bcce/docs/contracts/storage-v4.md" TargetMode="External"/><Relationship Id="rId18" Type="http://schemas.openxmlformats.org/officeDocument/2006/relationships/hyperlink" Target="https://github.com/StarryLiu1122/OpenSim/blob/b41c1b7ef82c0066e8c54b9664ceb3198e67bcce/services/README.md" TargetMode="External"/><Relationship Id="rId19" Type="http://schemas.openxmlformats.org/officeDocument/2006/relationships/hyperlink" Target="https://github.com/StarryLiu1122/OpenSim/blob/b41c1b7ef82c0066e8c54b9664ceb3198e67bcce/docs/comparisons/v5-completion.md" TargetMode="External"/><Relationship Id="rId20" Type="http://schemas.openxmlformats.org/officeDocument/2006/relationships/hyperlink" Target="https://github.com/StarryLiu1122/OpenSim/blob/b41c1b7ef82c0066e8c54b9664ceb3198e67bcce/docs/comparisons/evidence/v5-20260916/README.md" TargetMode="External"/><Relationship Id="rId21" Type="http://schemas.openxmlformats.org/officeDocument/2006/relationships/hyperlink" Target="https://github.com/StarryLiu1122/OpenSim/blob/b41c1b7ef82c0066e8c54b9664ceb3198e67bcce/prototype/docs/architecture-and-api.md" TargetMode="External"/><Relationship Id="rId22" Type="http://schemas.openxmlformats.org/officeDocument/2006/relationships/hyperlink" Target="https://github.com/StarryLiu1122/OpenSim/blob/b41c1b7ef82c0066e8c54b9664ceb3198e67bcce/prototype/docs/groups-and-assets.md" TargetMode="External"/><Relationship Id="rId23" Type="http://schemas.openxmlformats.org/officeDocument/2006/relationships/hyperlink" Target="https://github.com/StarryLiu1122/OpenSim/blob/b41c1b7ef82c0066e8c54b9664ceb3198e67bcce/prototype/docs/opensim-data-mapping.md" TargetMode="External"/><Relationship Id="rId24" Type="http://schemas.openxmlformats.org/officeDocument/2006/relationships/hyperlink" Target="https://github.com/StarryLiu1122/OpenSim/blob/b41c1b7ef82c0066e8c54b9664ceb3198e67bcce/integration/README.md" TargetMode="External"/><Relationship Id="rId25" Type="http://schemas.openxmlformats.org/officeDocument/2006/relationships/hyperlink" Target="https://github.com/StarryLiu1122/OpenSim/blob/b41c1b7ef82c0066e8c54b9664ceb3198e67bcce/docs/plans/stage-one-rebuild-plan.md" TargetMode="External"/><Relationship Id="rId26" Type="http://schemas.openxmlformats.org/officeDocument/2006/relationships/hyperlink" Target="https://github.com/StarryLiu1122/OpenSim/blob/b41c1b7ef82c0066e8c54b9664ceb3198e67bcce/docs/plans/platform-integration-alignment.md" TargetMode="External"/><Relationship Id="rId27" Type="http://schemas.openxmlformats.org/officeDocument/2006/relationships/hyperlink" Target="https://github.com/StarryLiu1122/OpenSim/blob/b41c1b7ef82c0066e8c54b9664ceb3198e67bcce/prototype/AGEN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 Lab V5 系统说明与开发交接</dc:title>
  <dc:subject>系统建设过程 架构 数据契约 运行验证与后续开发</dc:subject>
  <dc:creator>Region Lab</dc:creator>
  <cp:keywords>OpenSimulator Godot V5 系统说明 开发交接</cp:keywords>
  <dc:description>generated by python-docx</dc:description>
  <cp:lastModifiedBy>Region Lab</cp:lastModifiedBy>
  <cp:revision>1</cp:revision>
  <dcterms:created xsi:type="dcterms:W3CDTF">2026-09-19T00:00:00Z</dcterms:created>
  <dcterms:modified xsi:type="dcterms:W3CDTF">2026-09-19T00:00:00Z</dcterms:modified>
  <cp:category/>
</cp:coreProperties>
</file>