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Region Lab V5 系统进展与组会汇报</w:t>
      </w:r>
    </w:p>
    <w:p>
      <w:pPr>
        <w:pStyle w:val="Subtitle"/>
      </w:pPr>
      <w:r>
        <w:t>世界模型与智能体平台的虚拟世界基础建设</w:t>
      </w:r>
    </w:p>
    <w:p>
      <w:pPr>
        <w:spacing w:after="120"/>
      </w:pPr>
      <w:r>
        <w:rPr>
          <w:rFonts w:ascii="宋体" w:hAnsi="宋体" w:eastAsia="宋体" w:cs="宋体"/>
          <w:b w:val="0"/>
          <w:i w:val="0"/>
          <w:color w:val="454545"/>
          <w:sz w:val="19"/>
        </w:rPr>
        <w:t>汇报日期 2026年9月19日    当前版本 0.5.1    测试基线 2026年9月16日</w:t>
      </w:r>
    </w:p>
    <w:p>
      <w:r>
        <w:t>本项目以 OpenSimulator 0.9.3.0 为数据和行为参考，使用 Godot 逐步建设一个可编辑、可交互、可保存的三维世界。它在老师提出的总体方案中承担虚拟镜像与人类交互入口的职责，后续用于呈现世界模型的推演结果，并支持人类通过虚拟角色（Avatar）与智能体共同执行任务。[1][2]</w:t>
      </w:r>
    </w:p>
    <w:p>
      <w:r>
        <w:rPr>
          <w:b/>
        </w:rPr>
        <w:t>当前最主要的进展是：</w:t>
      </w:r>
      <w:r>
        <w:t>独立区域服务已经能够维护共享世界，两个桌面客户端或桌面与浏览器可以观察和修改同一场景。对象编辑经服务端校验并持久保存，关闭客户端后服务继续运行，重启服务后能够恢复已经提交的世界。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1" name="Picture 1" descr="图1  V5 桌面网络客户端的实际测试画面  场景包含展馆 地形与导入建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图1  V5 桌面网络客户端的实际测试画面  场景包含展馆 地形与导入建筑</w:t>
      </w:r>
    </w:p>
    <w:p>
      <w:r>
        <w:rPr>
          <w:b/>
        </w:rPr>
        <w:t>阶段结论：</w:t>
      </w:r>
      <w:r>
        <w:t>V5.0 已完成；V5.1 功能已实现，但 Firefox 冷启动尚未达到 10 秒门槛，因此 V5 整体验收仍未完成。真实世界模型平台、现代区域智能体任务执行和完整实验回放尚未接入。[3]</w:t>
      </w:r>
    </w:p>
    <w:p>
      <w:pPr>
        <w:spacing w:after="120"/>
      </w:pPr>
      <w:r>
        <w:rPr>
          <w:rFonts w:ascii="宋体" w:hAnsi="宋体" w:eastAsia="宋体" w:cs="宋体"/>
          <w:b w:val="0"/>
          <w:i w:val="0"/>
          <w:color w:val="454545"/>
          <w:sz w:val="19"/>
        </w:rPr>
        <w:t>阅读顺序：项目目标 → 版本积累 → 当前系统 → V5 功能 → 文档对齐 → 测试证据 → 后续工作。</w:t>
      </w:r>
    </w:p>
    <w:p>
      <w:pPr>
        <w:pStyle w:val="Heading1"/>
        <w:pageBreakBefore/>
        <w:spacing w:before="0"/>
      </w:pPr>
      <w:r>
        <w:t>一 老师提出的总体目标与我们的职责</w:t>
      </w:r>
    </w:p>
    <w:p>
      <w:pPr>
        <w:pStyle w:val="Heading2"/>
      </w:pPr>
      <w:r>
        <w:t>两份文档分别回答什么问题</w:t>
      </w:r>
    </w:p>
    <w:p>
      <w:r>
        <w:t>《融合集成分析报告》说明项目为什么建设：把现实观测、世界模型推演和虚拟世界连接起来，使人类能够进入场景，观察推演结果、参与任务并提供反馈。世界模型负责描述和推演状态，智能体负责根据目标选择并执行动作。报告第2章明确平台定位，第3章提出统一接口，第5章给出人机协作与科学验证场景。[1]</w:t>
      </w:r>
    </w:p>
    <w:p>
      <w:r>
        <w:t>《轻客户端技术方案》说明人类如何进入和使用这个系统：浏览器与桌面复用主要代码，客户端只展示授权状态并提交操作，由服务端决定最终结果；同时控制同步、资产和渲染开销。V5 主要落实其第2章、第4章、第5章和第7章的基础要求。[2]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5993999" cy="1516129"/>
            <wp:docPr id="2" name="Picture 2" descr="图2  三域关系及当前工作位置  依据老师总体报告第2章整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go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3999" cy="1516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图2  三域关系及当前工作位置  依据老师总体报告第2章整理</w:t>
      </w:r>
    </w:p>
    <w:p>
      <w:pPr>
        <w:pStyle w:val="Heading2"/>
      </w:pPr>
      <w:r>
        <w:t>本项目当前承担的工作</w:t>
      </w:r>
    </w:p>
    <w:tbl>
      <w:tblPr>
        <w:tblW w:type="dxa" w:w="946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531"/>
        <w:gridCol w:w="3969"/>
        <w:gridCol w:w="3969"/>
      </w:tblGrid>
      <w:tr>
        <w:trPr>
          <w:cantSplit/>
          <w:tblHeader/>
        </w:trPr>
        <w:tc>
          <w:tcPr>
            <w:tcW w:type="dxa" w:w="1531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职责</w:t>
            </w:r>
          </w:p>
        </w:tc>
        <w:tc>
          <w:tcPr>
            <w:tcW w:type="dxa" w:w="3969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希望形成的能力</w:t>
            </w:r>
          </w:p>
        </w:tc>
        <w:tc>
          <w:tcPr>
            <w:tcW w:type="dxa" w:w="3969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V5 的位置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虚拟世界载体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把地形、建筑、设施与环境组织成可操作场景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已建立区域与静态场景基础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人类交互入口</w:t>
            </w:r>
          </w:p>
        </w:tc>
        <w:tc>
          <w:tcPr>
            <w:tcW w:type="dxa" w:w="3969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用户以 Avatar 进入，共同观察与操作</w:t>
            </w:r>
          </w:p>
        </w:tc>
        <w:tc>
          <w:tcPr>
            <w:tcW w:type="dxa" w:w="3969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已验证桌面与 Web 共享区域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受控执行基础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外部指令有校验、有结果，可查失败原因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已有编辑命令、权限和持久回执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科学任务与反馈</w:t>
            </w:r>
          </w:p>
        </w:tc>
        <w:tc>
          <w:tcPr>
            <w:tcW w:type="dxa" w:w="3969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推演回注、人机任务、专家标注和实验比较</w:t>
            </w:r>
          </w:p>
        </w:tc>
        <w:tc>
          <w:tcPr>
            <w:tcW w:type="dxa" w:w="3969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真实平台与正式实验流程待接入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专业水文、交通等机理计算由外部模型承担。本项目负责把受支持的结果映射为场景状态，并执行空间中的观察与交互。现有水面、地形和碰撞提供了表现与操作基础，尚不能据此认定已实现洪涝或交通科学仿真。</w:t>
      </w:r>
    </w:p>
    <w:p>
      <w:pPr>
        <w:pStyle w:val="Heading1"/>
        <w:pageBreakBefore/>
        <w:spacing w:before="0"/>
      </w:pPr>
      <w:r>
        <w:t>二 从 V1 到 V5 的建设过程</w:t>
      </w:r>
    </w:p>
    <w:p>
      <w:r>
        <w:t>实施顺序是先建立可验证的世界数据，再增加编辑与资产能力，随后补上原版对照、事务存储和网络共享。下文 FP 指融合协议，用统一消息描述状态、操作与结果；Bot 指由程序控制的虚拟角色。</w:t>
      </w:r>
    </w:p>
    <w:tbl>
      <w:tblPr>
        <w:tblW w:type="dxa" w:w="946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964"/>
        <w:gridCol w:w="5216"/>
        <w:gridCol w:w="3288"/>
      </w:tblGrid>
      <w:tr>
        <w:trPr>
          <w:cantSplit/>
          <w:tblHeader/>
        </w:trPr>
        <w:tc>
          <w:tcPr>
            <w:tcW w:type="dxa" w:w="964"/>
            <w:vAlign w:val="center"/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版本</w:t>
            </w:r>
          </w:p>
        </w:tc>
        <w:tc>
          <w:tcPr>
            <w:tcW w:type="dxa" w:w="5216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主要完成内容</w:t>
            </w:r>
          </w:p>
        </w:tc>
        <w:tc>
          <w:tcPr>
            <w:tcW w:type="dxa" w:w="3288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为后续提供的基础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V1</w:t>
            </w:r>
          </w:p>
        </w:tc>
        <w:tc>
          <w:tcPr>
            <w:tcW w:type="dxa" w:w="5216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256×256 米单区域、角色漫游与碰撞、对象编辑、快照保存恢复和命令入口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形成世界记录和统一修改入口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5F7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V2</w:t>
            </w:r>
          </w:p>
        </w:tc>
        <w:tc>
          <w:tcPr>
            <w:tcW w:type="dxa" w:w="5216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地形抬升、降低、设高、平滑，以及拾取、笔刷预览、撤销重做</w:t>
            </w:r>
          </w:p>
        </w:tc>
        <w:tc>
          <w:tcPr>
            <w:tcW w:type="dxa" w:w="3288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可控地修改空间，并验证修改结果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V3</w:t>
            </w:r>
          </w:p>
        </w:tc>
        <w:tc>
          <w:tcPr>
            <w:tcW w:type="dxa" w:w="5216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六类内置对象、材质、环境与水面、门灯交互、可进入展馆、旧存档迁移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建立可以进入和操作的场景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5F7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V3.1</w:t>
            </w:r>
          </w:p>
        </w:tc>
        <w:tc>
          <w:tcPr>
            <w:tcW w:type="dxa" w:w="5216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对象组合、整体变换、静态 GLB 导入与复用、碰撞代理、资产随快照保存</w:t>
            </w:r>
          </w:p>
        </w:tc>
        <w:tc>
          <w:tcPr>
            <w:tcW w:type="dxa" w:w="3288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连接结构化对象与外部三维内容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V4</w:t>
            </w:r>
          </w:p>
        </w:tc>
        <w:tc>
          <w:tcPr>
            <w:tcW w:type="dxa" w:w="5216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固定 OpenSim 运行对照、原版 FP 网关与受控 Bot、SQLite、真实建筑及 Web 能力实验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验证原版语义和可靠保存，为网络化准备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5F7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V5.0</w:t>
            </w:r>
          </w:p>
        </w:tc>
        <w:tc>
          <w:tcPr>
            <w:tcW w:type="dxa" w:w="5216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独立权威区域、双桌面同步、角色碰撞、最小会话与持久回执</w:t>
            </w:r>
          </w:p>
        </w:tc>
        <w:tc>
          <w:tcPr>
            <w:tcW w:type="dxa" w:w="3288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形成可持续运行的共享世界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V5.1</w:t>
            </w:r>
          </w:p>
        </w:tc>
        <w:tc>
          <w:tcPr>
            <w:tcW w:type="dxa" w:w="5216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Web 共享客户端、距离过滤、按需资产、双浏览器与性能检查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功能可运行；冷启动预算仍有未通过项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当前保留两条有边界的运行路径</w:t>
      </w:r>
    </w:p>
    <w:p>
      <w:r>
        <w:t>原版 OpenSim 路径用于行为参考和兼容研究。V4 已独立运行固定版本，通过 Region 模块与受控 Bot 检查状态、动作及回执，并使用 Firestorm 对照两部件组合。这条路径保留原版环境及其 FP 0.2 接口。[5]</w:t>
      </w:r>
    </w:p>
    <w:p>
      <w:r>
        <w:t>现代 Region Lab 路径位于 prototype 中，采用 Godot 和项目自己的领域数据。V5 的桌面、浏览器和权威服务走 FP 0.3。原版与现代区域分别拥有自己的状态权威；目前没有实现两者之间的实时双向世界镜像。[4]</w:t>
      </w:r>
    </w:p>
    <w:p>
      <w:pPr>
        <w:spacing w:after="120"/>
      </w:pPr>
      <w:r>
        <w:rPr>
          <w:rFonts w:ascii="宋体" w:hAnsi="宋体" w:eastAsia="宋体" w:cs="宋体"/>
          <w:b w:val="0"/>
          <w:i w:val="0"/>
          <w:color w:val="454545"/>
          <w:sz w:val="19"/>
        </w:rPr>
        <w:t>FP 0.2、FP 0.3 是项目接口合同的版本号；老师文档中的 FP-01 至 FP-09 是接口类别编号，两者含义不同。</w:t>
      </w:r>
    </w:p>
    <w:p>
      <w:pPr>
        <w:pStyle w:val="Heading1"/>
        <w:pageBreakBefore/>
        <w:spacing w:before="0"/>
      </w:pPr>
      <w:r>
        <w:t>三 当前系统如何运行</w:t>
      </w:r>
    </w:p>
    <w:p>
      <w:r>
        <w:t>当前网络系统由客户端、接入服务、权威区域和持久化工具组成。权威区域是唯一决定世界最终状态的进程；客户端显示它提供的视图，用户操作以请求形式提交。[4]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5993999" cy="2785447"/>
            <wp:docPr id="3" name="Picture 3" descr="图3  V5 当前运行结构  原版 OpenSim 网关是独立路径 未并入本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3999" cy="2785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图3  V5 当前运行结构  原版 OpenSim 网关是独立路径 未并入本图</w:t>
      </w:r>
    </w:p>
    <w:p>
      <w:pPr>
        <w:pStyle w:val="Heading2"/>
      </w:pPr>
      <w:r>
        <w:t>四个部分如何分工</w:t>
      </w:r>
    </w:p>
    <w:p>
      <w:r>
        <w:t>客户端负责画面、界面和输入。LocalWorldView 可以理解为只读的本地世界副本：它用于显示场景，但不能直接把本地修改当作全体用户已经接受的结果。</w:t>
      </w:r>
    </w:p>
    <w:p>
      <w:r>
        <w:t>RegionHost 使用 ASP.NET Core 8，负责网页、受控资产下载与消息转发。Godot 权威区域调用 WorldService 检查对象、组合、地形和交互规则，并用 Jolt 执行角色碰撞。</w:t>
      </w:r>
    </w:p>
    <w:p>
      <w:r>
        <w:t>RegionStore 使用 SQLite 保存结构化世界与成功回执；GLB 模型按内容摘要保存在数据库外的文件中。持久化世界记录与渲染节点分离，因此场景可以由记录重新构建。</w:t>
      </w:r>
    </w:p>
    <w:p>
      <w:pPr>
        <w:pStyle w:val="Heading2"/>
      </w:pPr>
      <w:r>
        <w:t>固定技术基线</w:t>
      </w:r>
    </w:p>
    <w:p>
      <w:r>
        <w:t>当前使用 Godot 4.5.1 标准版、GDScript 脚本语言、Jolt 物理引擎和 Compatibility 渲染器；网络消息采用 WebSocket。桌面与 Web 复用主要领域和表现代码，Web 使用 WebGL2。C# 用于服务工具及原版适配，不作为浏览器客户端代码。普通运行不需要 Python、在线模型或 API Key。</w:t>
      </w:r>
    </w:p>
    <w:p>
      <w:pPr>
        <w:pStyle w:val="Heading1"/>
        <w:pageBreakBefore/>
        <w:spacing w:before="0"/>
      </w:pPr>
      <w:r>
        <w:t>四 已具备的场景与数据能力</w:t>
      </w:r>
    </w:p>
    <w:p>
      <w:r>
        <w:t>V5 建立在 V1 至 V4 的场景基础上。完整离线编辑面板继续保留，网络客户端通过可见控件及受支持命令使用相应领域能力。文中的 GLB 是一种三维模型文件格式；资产指可被多个场景对象复用的模型及相关内容。</w:t>
      </w:r>
    </w:p>
    <w:tbl>
      <w:tblPr>
        <w:tblW w:type="dxa" w:w="946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276"/>
        <w:gridCol w:w="4847"/>
        <w:gridCol w:w="3345"/>
      </w:tblGrid>
      <w:tr>
        <w:trPr>
          <w:cantSplit/>
          <w:tblHeader/>
        </w:trPr>
        <w:tc>
          <w:tcPr>
            <w:tcW w:type="dxa" w:w="1276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领域</w:t>
            </w:r>
          </w:p>
        </w:tc>
        <w:tc>
          <w:tcPr>
            <w:tcW w:type="dxa" w:w="4847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当前可以完成的操作</w:t>
            </w:r>
          </w:p>
        </w:tc>
        <w:tc>
          <w:tcPr>
            <w:tcW w:type="dxa" w:w="3345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使用边界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区域与角色</w:t>
            </w:r>
          </w:p>
        </w:tc>
        <w:tc>
          <w:tcPr>
            <w:tcW w:type="dxa" w:w="4847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在 256×256 米区域中行走、跳跃，受到地形、墙体和门的碰撞约束</w:t>
            </w:r>
          </w:p>
        </w:tc>
        <w:tc>
          <w:tcPr>
            <w:tcW w:type="dxa" w:w="3345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当前为单区域；角色表现以简单胶囊为主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地形与环境</w:t>
            </w:r>
          </w:p>
        </w:tc>
        <w:tc>
          <w:tcPr>
            <w:tcW w:type="dxa" w:w="4847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抬升、降低、设高、平滑；调整太阳时刻、雾、水面等环境状态</w:t>
            </w:r>
          </w:p>
        </w:tc>
        <w:tc>
          <w:tcPr>
            <w:tcW w:type="dxa" w:w="3345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水面是视觉与场景参数，不是水文求解器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对象与交互</w:t>
            </w:r>
          </w:p>
        </w:tc>
        <w:tc>
          <w:tcPr>
            <w:tcW w:type="dxa" w:w="4847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创建、编辑、复制、删除内置对象；调整材质；操作门和灯</w:t>
            </w:r>
          </w:p>
        </w:tc>
        <w:tc>
          <w:tcPr>
            <w:tcW w:type="dxa" w:w="3345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领域校验限制尺寸、坐标和受支持状态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对象组合</w:t>
            </w:r>
          </w:p>
        </w:tc>
        <w:tc>
          <w:tcPr>
            <w:tcW w:type="dxa" w:w="4847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建立组合，整体移动、旋转、统一缩放、复制、解除和删除</w:t>
            </w:r>
          </w:p>
        </w:tc>
        <w:tc>
          <w:tcPr>
            <w:tcW w:type="dxa" w:w="3345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单层根与子部件；不支持嵌套组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静态模型</w:t>
            </w:r>
          </w:p>
        </w:tc>
        <w:tc>
          <w:tcPr>
            <w:tcW w:type="dxa" w:w="4847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导入 GLB、复用资产、生成实例、使用碰撞代理</w:t>
            </w:r>
          </w:p>
        </w:tc>
        <w:tc>
          <w:tcPr>
            <w:tcW w:type="dxa" w:w="3345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静态三角网格、不透明材质及内嵌 PNG 子集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世界保存</w:t>
            </w:r>
          </w:p>
        </w:tc>
        <w:tc>
          <w:tcPr>
            <w:tcW w:type="dxa" w:w="4847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JSON 快照保存恢复；SQLite 事务保存、备份、导出和独立恢复</w:t>
            </w:r>
          </w:p>
        </w:tc>
        <w:tc>
          <w:tcPr>
            <w:tcW w:type="dxa" w:w="3345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世界格式 3，可读取并迁移格式 1 和 2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内容可追溯</w:t>
            </w:r>
          </w:p>
        </w:tc>
        <w:tc>
          <w:tcPr>
            <w:tcW w:type="dxa" w:w="4847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登记模型许可、来源、尺寸和 SHA256 内容摘要</w:t>
            </w:r>
          </w:p>
        </w:tc>
        <w:tc>
          <w:tcPr>
            <w:tcW w:type="dxa" w:w="3345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已验证小型样本，城市级转换管线尚未完成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两类代表性场景</w:t>
      </w:r>
    </w:p>
    <w:p>
      <w:r>
        <w:t>内置展馆由 15 个部件组成一个对象组。整组变换可以保持建筑关系，门和灯仍保留独立状态。这一案例用于验证“建筑是一个整体”和“部件能够独立交互”两类需求。</w:t>
      </w:r>
    </w:p>
    <w:p>
      <w:r>
        <w:t>Pioneer Log Cabin 是依据美国国会图书馆 HABS 测绘资料制作的简化真实建筑样本。模型含碰撞代理，即用于判断能否穿过的简化几何体；已经检查实际进入、站立、碰墙，以及删除临时源文件后的搬移恢复。它用于验证来源、尺度、导入和通行流程，尚不是 CAD/BIM 或摄影测量通用导入器。[5]</w:t>
      </w:r>
    </w:p>
    <w:p>
      <w:pPr>
        <w:pStyle w:val="Heading2"/>
      </w:pPr>
      <w:r>
        <w:t>数据约定与当前上限</w:t>
      </w:r>
    </w:p>
    <w:p>
      <w:r>
        <w:t>世界坐标使用米，X 向东、Y 向北、Z 表示高度；转换到 Godot 时为 (x, z, −y)。单个 GLB 最大 2 MiB、最多 20,000 个三角形；最多登记 16 个导入资产，完整快照最大 8 MiB。这些是输入限制，不是已验证的场景容量。</w:t>
      </w:r>
    </w:p>
    <w:p>
      <w:pPr>
        <w:spacing w:after="120"/>
      </w:pPr>
      <w:r>
        <w:rPr>
          <w:rFonts w:ascii="宋体" w:hAnsi="宋体" w:eastAsia="宋体" w:cs="宋体"/>
          <w:b w:val="0"/>
          <w:i w:val="0"/>
          <w:color w:val="454545"/>
          <w:sz w:val="19"/>
        </w:rPr>
        <w:t>网络客户端尚未复制离线编辑器的全部专用面板，也没有共享撤销历史；地形、组合和环境等部分操作通过命令参数提交。</w:t>
      </w:r>
    </w:p>
    <w:p>
      <w:pPr>
        <w:pStyle w:val="Heading1"/>
        <w:pageBreakBefore/>
        <w:spacing w:before="0"/>
      </w:pPr>
      <w:r>
        <w:t>五 V5 如何让多个客户端共享一个世界</w:t>
      </w:r>
    </w:p>
    <w:p>
      <w:pPr>
        <w:pStyle w:val="Heading2"/>
      </w:pPr>
      <w:r>
        <w:t>一次修改怎样成为所有人看到的结果</w:t>
      </w:r>
    </w:p>
    <w:p>
      <w:r>
        <w:t>以两名用户修改同一个对象为例，系统先确认修改是否有效，再决定哪个结果能够提交。这对应老师总体报告第4章关于顺序、追溯和可恢复指令的要求。[1][4]</w:t>
      </w:r>
    </w:p>
    <w:p>
      <w:r>
        <w:t>1  客户端进入时接收完整快照，随后接收变化数据，包括新增、更新和删除。服务端按 20 Hz 分发状态，客户端按序号检查是否遗漏或重复。</w:t>
      </w:r>
    </w:p>
    <w:p>
      <w:r>
        <w:t>2  用户提交编辑时携带请求 ID 和看到的世界修订号。修订号可以理解为这份持久世界记录的版本编号。</w:t>
      </w:r>
    </w:p>
    <w:p>
      <w:r>
        <w:t>3  服务端校验会话、权限和领域规则。如果两人基于同一修订提交会改变状态的编辑，只允许一个先成功，另一个收到修订冲突，需要查看新状态后再决定如何修改。</w:t>
      </w:r>
    </w:p>
    <w:p>
      <w:r>
        <w:t>4  成功候选和成功回执写入同一数据库事务。只有这一步确认完成，服务才发布新状态并显示编辑成功，避免画面已经成功而数据没有保存。</w:t>
      </w:r>
    </w:p>
    <w:p>
      <w:r>
        <w:t>5  相同主体使用相同请求 ID 重发同一命令，系统返回原结果，不再次执行。若提交过程中断线，客户端标记结果未知，重新登录后可按请求 ID 查询。</w:t>
      </w:r>
    </w:p>
    <w:p>
      <w:r>
        <w:t>6  服务重启生成新的网络世代，用于区分重启前后的消息。持久世界和成功回执可恢复；遗漏增量或校验失败时，客户端重新请求完整快照。</w:t>
      </w:r>
    </w:p>
    <w:p>
      <w:pPr>
        <w:pStyle w:val="Heading2"/>
      </w:pPr>
      <w:r>
        <w:t>角色移动和编辑确认采用不同处理</w:t>
      </w:r>
    </w:p>
    <w:p>
      <w:r>
        <w:t>角色输入由服务端以 60 Hz 进行真实物理步进，墙体、门和其他角色能够阻挡移动。客户端可以先预测自身移动，使操作及时反馈，再按服务端位置校正；远端角色通过插值平滑显示。当前使用 100 ms 插值延迟，最多外推 200 ms，没有实现完整的输入历史回滚重演。</w:t>
      </w:r>
    </w:p>
    <w:p>
      <w:r>
        <w:t>对象编辑、门灯状态和资产登记必须等待服务确认。Avatar 位置属于会话瞬态数据，服务重启后在出生点重建；“世界恢复”不包含人物位置、换装和库存的完整恢复。</w:t>
      </w:r>
    </w:p>
    <w:p>
      <w:pPr>
        <w:pStyle w:val="Heading2"/>
      </w:pPr>
      <w:r>
        <w:t>最小权限已经进入操作链路</w:t>
      </w:r>
    </w:p>
    <w:p>
      <w:r>
        <w:t>两个测试编辑主体显式共享区域所有者授权；观察者只读，独立访客不能修改演示区域对象。无效或过期会话、伪造主体、越权编辑和私有资产访问会被拒绝。当前仍是本机测试身份，正式账户、SSO、会话撤销和完整库存属于后续工作。</w:t>
      </w:r>
    </w:p>
    <w:p>
      <w:pPr>
        <w:pStyle w:val="Heading1"/>
        <w:pageBreakBefore/>
        <w:spacing w:before="0"/>
      </w:pPr>
      <w:r>
        <w:t>六 V5 浏览器客户端与按需资产</w:t>
      </w:r>
    </w:p>
    <w:p>
      <w:r>
        <w:t>V5.1 已让 Chromium 和 Firefox 接入同一个现代权威区域。浏览器能够与桌面共同编辑对象、切换门灯、导入并实例化模型，也支持文件选择取消、观察记录下载、真实点击后的鼠标捕获，以及刷新后重新登录。[3]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5724000" cy="3816000"/>
            <wp:docPr id="4" name="Picture 4" descr="图4  Chromium 功能测试实际画面  截图时为45个对象 性能测量统一恢复为44个对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iu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8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图4  Chromium 功能测试实际画面  截图时为45个对象 性能测量统一恢复为44个对象</w:t>
      </w:r>
    </w:p>
    <w:p>
      <w:pPr>
        <w:pStyle w:val="Heading2"/>
      </w:pPr>
      <w:r>
        <w:t>兴趣范围决定当前需要显示什么</w:t>
      </w:r>
    </w:p>
    <w:p>
      <w:r>
        <w:t>AOI 是“兴趣范围”，即客户端当前关注的空间范围。服务端先按权限筛选，再按距离决定需要发送的对象；组合按整体进入或离开。客户端离开范围后释放节点和模型缓存，重新进入时获得完整状态及重新授权的资产。当前默认半径 96 米，地形和环境仍按整个区域发送。</w:t>
      </w:r>
    </w:p>
    <w:p>
      <w:pPr>
        <w:pStyle w:val="Heading2"/>
      </w:pPr>
      <w:r>
        <w:t>模型只有校验通过后才参与可靠交互</w:t>
      </w:r>
    </w:p>
    <w:p>
      <w:r>
        <w:t>客户端先取得模型清单，再通过受控 HTTPS 请求下载 GLB，检查长度、SHA256 和格式规则。SHA256 可理解为内容指纹，用于确认下载字节与登记内容一致。缺失、损坏或中断会产生明确失败与重试；必要模型及碰撞未完成前，客户端不能提前进入可操作状态。</w:t>
      </w:r>
    </w:p>
    <w:p>
      <w:pPr>
        <w:spacing w:after="120"/>
      </w:pPr>
      <w:r>
        <w:rPr>
          <w:rFonts w:ascii="宋体" w:hAnsi="宋体" w:eastAsia="宋体" w:cs="宋体"/>
          <w:b w:val="0"/>
          <w:i w:val="0"/>
          <w:color w:val="454545"/>
          <w:sz w:val="19"/>
        </w:rPr>
        <w:t>浏览器不安装桌面客户端，但仍需支持 WebGL2 并下载运行资源。当前服务只监听本机，尚未完成公网、移动端和 Safari 验证。下载的观察记录不是完整世界备份。</w:t>
      </w:r>
    </w:p>
    <w:p>
      <w:pPr>
        <w:pStyle w:val="Heading1"/>
        <w:pageBreakBefore/>
        <w:spacing w:before="0"/>
      </w:pPr>
      <w:r>
        <w:t>七 与老师接口和客户端设计的对应关系</w:t>
      </w:r>
    </w:p>
    <w:p>
      <w:r>
        <w:t>老师提出的 FP-01 至 FP-09 是最终接口范围。当前已有一部分来自 V4 原版适配，一部分由 V5 现代区域落实，不能将“已有协议框架”理解为九类业务能力全部完成。[1 §3.2][2 §5.2]</w:t>
      </w:r>
    </w:p>
    <w:tbl>
      <w:tblPr>
        <w:tblW w:type="dxa" w:w="946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935"/>
        <w:gridCol w:w="1701"/>
        <w:gridCol w:w="6831"/>
      </w:tblGrid>
      <w:tr>
        <w:trPr>
          <w:cantSplit/>
          <w:tblHeader/>
        </w:trPr>
        <w:tc>
          <w:tcPr>
            <w:tcW w:type="dxa" w:w="935"/>
            <w:vAlign w:val="center"/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接口</w:t>
            </w:r>
          </w:p>
        </w:tc>
        <w:tc>
          <w:tcPr>
            <w:tcW w:type="dxa" w:w="1701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原文关注的能力</w:t>
            </w:r>
          </w:p>
        </w:tc>
        <w:tc>
          <w:tcPr>
            <w:tcW w:type="dxa" w:w="6831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截至 V5 的实际状态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FP-01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世界状态订阅</w:t>
            </w:r>
          </w:p>
        </w:tc>
        <w:tc>
          <w:tcPr>
            <w:tcW w:type="dxa" w:w="683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现代区域已有快照、顺序增量、删除、兴趣过滤及重新同步。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5F7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FP-02</w:t>
            </w:r>
          </w:p>
        </w:tc>
        <w:tc>
          <w:tcPr>
            <w:tcW w:type="dxa" w:w="1701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语义事件流</w:t>
            </w:r>
          </w:p>
        </w:tc>
        <w:tc>
          <w:tcPr>
            <w:tcW w:type="dxa" w:w="6831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原版已有对象等事件子集；现代区域的状态增量不等于完整聊天、碰撞和语义事件总线。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FP-03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智能体创建与销毁</w:t>
            </w:r>
          </w:p>
        </w:tc>
        <w:tc>
          <w:tcPr>
            <w:tcW w:type="dxa" w:w="683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原版受控 Bot 已验证；现代区域的智能体标识映射、能力约束和 Agent 生命周期待实现。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5F7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FP-04</w:t>
            </w:r>
          </w:p>
        </w:tc>
        <w:tc>
          <w:tcPr>
            <w:tcW w:type="dxa" w:w="1701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智能体动作执行</w:t>
            </w:r>
          </w:p>
        </w:tc>
        <w:tc>
          <w:tcPr>
            <w:tcW w:type="dxa" w:w="6831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原版支持受控移动、转向等子集；现代区域已有人的移动输入与编辑命令，尚无完整 Bot 任务执行器。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FP-05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动作与操作回执</w:t>
            </w:r>
          </w:p>
        </w:tc>
        <w:tc>
          <w:tcPr>
            <w:tcW w:type="dxa" w:w="683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原版和现代路径已有各自回执；V5 的持久编辑回执支持重启查询和重复请求处理。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5F7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FP-06</w:t>
            </w:r>
          </w:p>
        </w:tc>
        <w:tc>
          <w:tcPr>
            <w:tcW w:type="dxa" w:w="1701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世界状态变更</w:t>
            </w:r>
          </w:p>
        </w:tc>
        <w:tc>
          <w:tcPr>
            <w:tcW w:type="dxa" w:w="6831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已有对象、组合、地形及环境修改入口；外部模型的时间、来源和实验分支回注待接入。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FP-07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Avatar 会话</w:t>
            </w:r>
          </w:p>
        </w:tc>
        <w:tc>
          <w:tcPr>
            <w:tcW w:type="dxa" w:w="683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V5 有测试主体、角色和对象权限；正式账户、SSO、撤销及库存尚未完成。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5F7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FP-08</w:t>
            </w:r>
          </w:p>
        </w:tc>
        <w:tc>
          <w:tcPr>
            <w:tcW w:type="dxa" w:w="1701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实验控制</w:t>
            </w:r>
          </w:p>
        </w:tc>
        <w:tc>
          <w:tcPr>
            <w:tcW w:type="dxa" w:w="6831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V4 有最小运行档案；现代区域的实验创建、暂停、分支与正式回放待实现。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FP-09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遥测与评测导出</w:t>
            </w:r>
          </w:p>
        </w:tc>
        <w:tc>
          <w:tcPr>
            <w:tcW w:type="dxa" w:w="683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已有原版有界记录和 V5 测试、观察输出；尚未形成真实平台的完整实验数据管线。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客户端方案中已经采用的原则</w:t>
      </w:r>
    </w:p>
    <w:p>
      <w:r>
        <w:t>客户端只读世界视图、服务端权威、20 Hz 增量、本地移动预测、远端插值、基础 AOI 和按内容摘要取资产，均已在 V5 落实。它们分别对应方案 B 第2章、第4章、第5章和第7章。</w:t>
      </w:r>
    </w:p>
    <w:p>
      <w:pPr>
        <w:pStyle w:val="Heading2"/>
      </w:pPr>
      <w:r>
        <w:t>仍需分阶段落实的技术目标</w:t>
      </w:r>
    </w:p>
    <w:p>
      <w:r>
        <w:t>固定 Godot 4.5 的官方 Web 导出采用 WebGL2，且不支持 C# 项目导出 Web，因此当前使用 GDScript 与 WebGL2。WebGPU 仍是独立研究项。状态传输先使用 WebSocket，WebTransport 与 QUIC 尚未采用。[6][7]</w:t>
      </w:r>
    </w:p>
    <w:p>
      <w:r>
        <w:t>老师方案中的完整回滚重演、时钟同步误差指标、视锥与分级优先级 AOI、LOD、三档画质、语音及共享镜头还没有完成。当前交付落实了共享世界与轻客户端基础，后续需要逐项补齐并测量。</w:t>
      </w:r>
    </w:p>
    <w:p>
      <w:pPr>
        <w:pStyle w:val="Heading1"/>
        <w:pageBreakBefore/>
        <w:spacing w:before="0"/>
      </w:pPr>
      <w:r>
        <w:t>八 已完成哪些验证</w:t>
      </w:r>
    </w:p>
    <w:p>
      <w:r>
        <w:t>最近一次完整 V5 验证记录日期为 2026年9月16日。测试使用独立实例、端口和数据库，保留报告、实际截图和构建摘要。下列数字分别表示各套件的检查结果，不合并解释为覆盖率。[3]</w:t>
      </w:r>
    </w:p>
    <w:tbl>
      <w:tblPr>
        <w:tblW w:type="dxa" w:w="946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409"/>
        <w:gridCol w:w="1757"/>
        <w:gridCol w:w="5301"/>
      </w:tblGrid>
      <w:tr>
        <w:trPr>
          <w:cantSplit/>
          <w:tblHeader/>
        </w:trPr>
        <w:tc>
          <w:tcPr>
            <w:tcW w:type="dxa" w:w="2409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检查组</w:t>
            </w:r>
          </w:p>
        </w:tc>
        <w:tc>
          <w:tcPr>
            <w:tcW w:type="dxa" w:w="1757"/>
            <w:vAlign w:val="center"/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结果</w:t>
            </w:r>
          </w:p>
        </w:tc>
        <w:tc>
          <w:tcPr>
            <w:tcW w:type="dxa" w:w="5301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实际验证的问题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原生领域与物理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191 / 191</w:t>
            </w:r>
          </w:p>
        </w:tc>
        <w:tc>
          <w:tcPr>
            <w:tcW w:type="dxa" w:w="530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已有对象、组合、地形、迁移和真实碰撞是否继续正确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离线界面</w:t>
            </w:r>
          </w:p>
        </w:tc>
        <w:tc>
          <w:tcPr>
            <w:tcW w:type="dxa" w:w="1757"/>
            <w:vAlign w:val="center"/>
            <w:shd w:fill="F5F7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66 / 66</w:t>
            </w:r>
          </w:p>
        </w:tc>
        <w:tc>
          <w:tcPr>
            <w:tcW w:type="dxa" w:w="5301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控件、编辑、导入与画面；其中7项检查生成截图，截图另行查看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网络数据合同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16 / 16</w:t>
            </w:r>
          </w:p>
        </w:tc>
        <w:tc>
          <w:tcPr>
            <w:tcW w:type="dxa" w:w="530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只读副本、序列、世代、删除、校验及非法消息处理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SQLite 独立进程</w:t>
            </w:r>
          </w:p>
        </w:tc>
        <w:tc>
          <w:tcPr>
            <w:tcW w:type="dxa" w:w="1757"/>
            <w:vAlign w:val="center"/>
            <w:shd w:fill="F5F7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53 / 53</w:t>
            </w:r>
          </w:p>
        </w:tc>
        <w:tc>
          <w:tcPr>
            <w:tcW w:type="dxa" w:w="5301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竞争事务、迁移回滚、资产及持久回执，进程中断后的结果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权威区域与双桌面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64 / 64</w:t>
            </w:r>
          </w:p>
        </w:tc>
        <w:tc>
          <w:tcPr>
            <w:tcW w:type="dxa" w:w="530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真实客户端同步、权限、角色碰撞、冲突、幂等及恢复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Chromium 与 Firefox</w:t>
            </w:r>
          </w:p>
        </w:tc>
        <w:tc>
          <w:tcPr>
            <w:tcW w:type="dxa" w:w="1757"/>
            <w:vAlign w:val="center"/>
            <w:shd w:fill="F5F7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75项通过</w:t>
              <w:br/>
              <w:t>1项性能断言失败</w:t>
            </w:r>
          </w:p>
        </w:tc>
        <w:tc>
          <w:tcPr>
            <w:tcW w:type="dxa" w:w="5301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两内核功能及冷启动；Firefox 超出10秒预算，原始失败保留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离线包与正式入口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11 / 11</w:t>
            </w:r>
          </w:p>
        </w:tc>
        <w:tc>
          <w:tcPr>
            <w:tcW w:type="dxa" w:w="530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首次导入资源、两个实际窗口、关闭客户端及服务重启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重点验证了失败以后系统会怎样</w:t>
      </w:r>
    </w:p>
    <w:p>
      <w:r>
        <w:t>同修订竞争只能产生一个有效修改；数据库被锁定时不会把候选结果发布成成功；提交后进程退出导致响应丢失时，能够通过原请求查询已提交结果。这些检查说明了“成功”与“结果未知”的处理边界。</w:t>
      </w:r>
    </w:p>
    <w:p>
      <w:r>
        <w:t>资产测试覆盖文件缺失、服务端损坏、HTTP 成功状态却返回错误字节，以及下载中断重试。权限检查还覆盖“把公开对象改为引用私有资产”这类间接访问，避免只检查下载入口而遗漏编辑路径。</w:t>
      </w:r>
    </w:p>
    <w:p>
      <w:pPr>
        <w:pStyle w:val="Heading2"/>
      </w:pPr>
      <w:r>
        <w:t>部署和历史兼容也有独立证据</w:t>
      </w:r>
    </w:p>
    <w:p>
      <w:r>
        <w:t>离线包在同机新的含空格目录安装，428 个文件通过摘要校验。正式脚本打开两个客户端窗口，关闭它们后服务继续运行；服务重启后恢复 44 个对象和原修订。另有两类跨进程恢复、三组离线批处理，以及删除模型源文件后搬移存档的恢复检查。</w:t>
      </w:r>
    </w:p>
    <w:p>
      <w:pPr>
        <w:spacing w:after="120"/>
      </w:pPr>
      <w:r>
        <w:rPr>
          <w:rFonts w:ascii="宋体" w:hAnsi="宋体" w:eastAsia="宋体" w:cs="宋体"/>
          <w:b w:val="0"/>
          <w:i w:val="0"/>
          <w:color w:val="454545"/>
          <w:sz w:val="19"/>
        </w:rPr>
        <w:t>进程终止测试不等同于硬件突然断电；同机新目录安装不等同于全新操作系统。GitHub 自动检查工作流（CI）已提供，但尚未在远程自托管执行机运行。</w:t>
      </w:r>
    </w:p>
    <w:p>
      <w:pPr>
        <w:pStyle w:val="Heading1"/>
        <w:pageBreakBefore/>
        <w:spacing w:before="0"/>
      </w:pPr>
      <w:r>
        <w:t>九 性能结果与尚未完成的范围</w:t>
      </w:r>
    </w:p>
    <w:p>
      <w:pPr>
        <w:pStyle w:val="Heading2"/>
      </w:pPr>
      <w:r>
        <w:t>浏览器启动门槛仍有一项未通过</w:t>
      </w:r>
    </w:p>
    <w:p>
      <w:r>
        <w:t>老师客户端方案第9章要求，在 50 Mbps 条件下 10 秒内进入可交互状态。本轮使用 44 对象、15 部件展馆组和一栋真实来源建筑，分别启动五个新的浏览器进程与临时配置，另测热启动。计时从导航开始，直到登录、必要资产检查、真实碰撞和首个可操作渲染状态完成。</w:t>
      </w:r>
    </w:p>
    <w:tbl>
      <w:tblPr>
        <w:tblW w:type="dxa" w:w="946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701"/>
        <w:gridCol w:w="1247"/>
        <w:gridCol w:w="1247"/>
        <w:gridCol w:w="1247"/>
        <w:gridCol w:w="1247"/>
        <w:gridCol w:w="1247"/>
        <w:gridCol w:w="1531"/>
      </w:tblGrid>
      <w:tr>
        <w:trPr>
          <w:cantSplit/>
          <w:tblHeader/>
        </w:trPr>
        <w:tc>
          <w:tcPr>
            <w:tcW w:type="dxa" w:w="1701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浏览器</w:t>
            </w:r>
          </w:p>
        </w:tc>
        <w:tc>
          <w:tcPr>
            <w:tcW w:type="dxa" w:w="1247"/>
            <w:vAlign w:val="center"/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第1次</w:t>
            </w:r>
          </w:p>
        </w:tc>
        <w:tc>
          <w:tcPr>
            <w:tcW w:type="dxa" w:w="1247"/>
            <w:vAlign w:val="center"/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第2次</w:t>
            </w:r>
          </w:p>
        </w:tc>
        <w:tc>
          <w:tcPr>
            <w:tcW w:type="dxa" w:w="1247"/>
            <w:vAlign w:val="center"/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第3次</w:t>
            </w:r>
          </w:p>
        </w:tc>
        <w:tc>
          <w:tcPr>
            <w:tcW w:type="dxa" w:w="1247"/>
            <w:vAlign w:val="center"/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第4次</w:t>
            </w:r>
          </w:p>
        </w:tc>
        <w:tc>
          <w:tcPr>
            <w:tcW w:type="dxa" w:w="1247"/>
            <w:vAlign w:val="center"/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第5次</w:t>
            </w:r>
          </w:p>
        </w:tc>
        <w:tc>
          <w:tcPr>
            <w:tcW w:type="dxa" w:w="1531"/>
            <w:vAlign w:val="center"/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≤10秒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Chromium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8.869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7.615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7.641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7.639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7.624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5 / 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Firefox</w:t>
            </w:r>
          </w:p>
        </w:tc>
        <w:tc>
          <w:tcPr>
            <w:tcW w:type="dxa" w:w="1247"/>
            <w:vAlign w:val="center"/>
            <w:shd w:fill="F5F7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10.678</w:t>
            </w:r>
          </w:p>
        </w:tc>
        <w:tc>
          <w:tcPr>
            <w:tcW w:type="dxa" w:w="1247"/>
            <w:vAlign w:val="center"/>
            <w:shd w:fill="F5F7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10.377</w:t>
            </w:r>
          </w:p>
        </w:tc>
        <w:tc>
          <w:tcPr>
            <w:tcW w:type="dxa" w:w="1247"/>
            <w:vAlign w:val="center"/>
            <w:shd w:fill="F5F7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10.395</w:t>
            </w:r>
          </w:p>
        </w:tc>
        <w:tc>
          <w:tcPr>
            <w:tcW w:type="dxa" w:w="1247"/>
            <w:vAlign w:val="center"/>
            <w:shd w:fill="F5F7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10.236</w:t>
            </w:r>
          </w:p>
        </w:tc>
        <w:tc>
          <w:tcPr>
            <w:tcW w:type="dxa" w:w="1247"/>
            <w:vAlign w:val="center"/>
            <w:shd w:fill="F5F7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10.282</w:t>
            </w:r>
          </w:p>
        </w:tc>
        <w:tc>
          <w:tcPr>
            <w:tcW w:type="dxa" w:w="1531"/>
            <w:vAlign w:val="center"/>
            <w:shd w:fill="F5F7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0 / 5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120"/>
      </w:pPr>
      <w:r>
        <w:rPr>
          <w:rFonts w:ascii="宋体" w:hAnsi="宋体" w:eastAsia="宋体" w:cs="宋体"/>
          <w:b w:val="0"/>
          <w:i w:val="0"/>
          <w:color w:val="454545"/>
          <w:sz w:val="19"/>
        </w:rPr>
        <w:t>单位为秒。Chromium 151.0.7922.34；Firefox 153.0。冷启动中位数分别为7.639和10.377秒；热启动分别为3.619和8.558秒。</w:t>
      </w:r>
    </w:p>
    <w:p>
      <w:r>
        <w:t>因此，V5.1 的功能可以演示，但性能与 CI 任务 5.1-06 仍未通过。已完成压缩传输、投影摘要缓存、碰撞几何构建优化和轻量光照等工作；下一步继续分析 Firefox 的 WebAssembly、首帧与渲染初始化，并按同一条件复验。[3]</w:t>
      </w:r>
    </w:p>
    <w:p>
      <w:pPr>
        <w:pStyle w:val="Heading2"/>
      </w:pPr>
      <w:r>
        <w:t>如何理解这组测量</w:t>
      </w:r>
    </w:p>
    <w:p>
      <w:r>
        <w:t>机器为 Windows 11、Core Ultra 7 255HX、约16 GB内存。桌面使用 RTX 5060 Laptop GPU，浏览器报告 Intel 图形及 ANGLE D3D11。50 Mbps 由本机 HTTPS 网关的响应体节流实现，没有模拟互联网时延、抖动或丢包，也未清除操作系统和驱动缓存。该结果是本机基线，不能直接推断公网体验。</w:t>
      </w:r>
    </w:p>
    <w:p>
      <w:pPr>
        <w:pStyle w:val="Heading2"/>
      </w:pPr>
      <w:r>
        <w:t>老师方案中的以下目标尚不能认定完成</w:t>
      </w:r>
    </w:p>
    <w:tbl>
      <w:tblPr>
        <w:tblW w:type="dxa" w:w="946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701"/>
        <w:gridCol w:w="7767"/>
      </w:tblGrid>
      <w:tr>
        <w:trPr>
          <w:cantSplit/>
          <w:tblHeader/>
        </w:trPr>
        <w:tc>
          <w:tcPr>
            <w:tcW w:type="dxa" w:w="1701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目标领域</w:t>
            </w:r>
          </w:p>
        </w:tc>
        <w:tc>
          <w:tcPr>
            <w:tcW w:type="dxa" w:w="7767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当前边界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人数与规模</w:t>
            </w:r>
          </w:p>
        </w:tc>
        <w:tc>
          <w:tcPr>
            <w:tcW w:type="dxa" w:w="7767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已验证两个实际客户端；8个会话是配置上限，不是并发容量证明。100 Avatar、1000可见实体及5000区域实体尚未验收。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网络与长期运行</w:t>
            </w:r>
          </w:p>
        </w:tc>
        <w:tc>
          <w:tcPr>
            <w:tcW w:type="dxa" w:w="7767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尚未证明同城 P99 延迟目标，即99%的请求所需时间的上界；低带宽稳态、长期多人稳定性、系统休眠及断电恢复仍待验证。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智能与科学任务</w:t>
            </w:r>
          </w:p>
        </w:tc>
        <w:tc>
          <w:tcPr>
            <w:tcW w:type="dxa" w:w="7767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尚未连接在线大模型或真实世界模型平台；没有完成洪涝、交通任务及专家反馈闭环。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内容与多端</w:t>
            </w:r>
          </w:p>
        </w:tc>
        <w:tc>
          <w:tcPr>
            <w:tcW w:type="dxa" w:w="7767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尚无完整库存、OAR 导入、脚本兼容、跨区域、Hypergrid、移动端和 XR 交付。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120"/>
      </w:pPr>
      <w:r>
        <w:rPr>
          <w:rFonts w:ascii="宋体" w:hAnsi="宋体" w:eastAsia="宋体" w:cs="宋体"/>
          <w:b w:val="0"/>
          <w:i w:val="0"/>
          <w:color w:val="454545"/>
          <w:sz w:val="19"/>
        </w:rPr>
        <w:t>后台恢复用例采用实际窗口最小化与确定性帧暂停。它证明客户端停止推进后能够重新收敛，但不等同于所有普通浏览器的真实后台节流。</w:t>
      </w:r>
    </w:p>
    <w:p>
      <w:pPr>
        <w:pStyle w:val="Heading1"/>
        <w:pageBreakBefore/>
        <w:spacing w:before="0"/>
      </w:pPr>
      <w:r>
        <w:t>十 后续工作怎样继续对齐总体目标</w:t>
      </w:r>
    </w:p>
    <w:p>
      <w:r>
        <w:t>后续按依赖顺序推进。先完成 V5 的剩余验收，再把共享世界扩展为人类与智能体共同执行任务的环境，最后接入真实推演数据和实验反馈。老师原文的18个月与4个月安排保留为项目层参考，不直接作为个人开发工期承诺。[1][2][6]</w:t>
      </w:r>
    </w:p>
    <w:tbl>
      <w:tblPr>
        <w:tblW w:type="dxa" w:w="946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276"/>
        <w:gridCol w:w="4025"/>
        <w:gridCol w:w="4167"/>
      </w:tblGrid>
      <w:tr>
        <w:trPr>
          <w:cantSplit/>
          <w:tblHeader/>
        </w:trPr>
        <w:tc>
          <w:tcPr>
            <w:tcW w:type="dxa" w:w="1276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阶段</w:t>
            </w:r>
          </w:p>
        </w:tc>
        <w:tc>
          <w:tcPr>
            <w:tcW w:type="dxa" w:w="4025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下一步交付</w:t>
            </w:r>
          </w:p>
        </w:tc>
        <w:tc>
          <w:tcPr>
            <w:tcW w:type="dxa" w:w="4167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完成时应看到的结果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V5 收尾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Firefox 启动分析、同条件双浏览器复验、实际 CI 执行及后台专项检查</w:t>
            </w:r>
          </w:p>
        </w:tc>
        <w:tc>
          <w:tcPr>
            <w:tcW w:type="dxa" w:w="4167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两个内核各至少5次冷启动满足预算，失败与恢复行为继续正确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V6.0</w:t>
            </w:r>
          </w:p>
        </w:tc>
        <w:tc>
          <w:tcPr>
            <w:tcW w:type="dxa" w:w="4025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账户与 Avatar 绑定、最小库存、现代 Agent 生命周期、动作执行器和人工接管</w:t>
            </w:r>
          </w:p>
        </w:tc>
        <w:tc>
          <w:tcPr>
            <w:tcW w:type="dxa" w:w="4167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一名人类和一个 Bot 共同进入建筑、查询对象、操作门灯，并返回可追溯结果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V6.1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真实平台数据映射、场景回注、专家标注、实验记录和回放比较</w:t>
            </w:r>
          </w:p>
        </w:tc>
        <w:tc>
          <w:tcPr>
            <w:tcW w:type="dxa" w:w="4167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真实输入改变场景，人机执行任务，反馈与遥测能够回传并独立检查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V7 至 V8</w:t>
            </w:r>
          </w:p>
        </w:tc>
        <w:tc>
          <w:tcPr>
            <w:tcW w:type="dxa" w:w="4025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真实场景内容、OAR 子集、分块与画质优化，再做分级容量及多端部署</w:t>
            </w:r>
          </w:p>
        </w:tc>
        <w:tc>
          <w:tcPr>
            <w:tcW w:type="dxa" w:w="4167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在指定设备和负载下分别验收性能、恢复、兼容范围及科学场景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首个科学场景建议从道路阻断验证开始</w:t>
      </w:r>
    </w:p>
    <w:p>
      <w:r>
        <w:t>候选场景为“洪涝水位与道路阻断”，仍需老师确认。外部模型提供带时间、坐标、单位和版本的水位或通行预测；系统将其映射到场景中可检查的对象与道路状态；人类与 Bot 执行观察或到达任务；专家标注预测与实际表现的差异；最后导出状态、动作、结果及反馈。</w:t>
      </w:r>
    </w:p>
    <w:p>
      <w:r>
        <w:t>这条链路中，V5 已提供场景、共享观察、受控修改和可靠保存基础。V6 仍需增加模型数据映射、现代 Bot 动作、标注和实验记录。若先采用固定数据样本，只计工程链路验证，不能视为真实平台联调完成。</w:t>
      </w:r>
    </w:p>
    <w:p>
      <w:pPr>
        <w:pStyle w:val="Heading2"/>
      </w:pPr>
      <w:r>
        <w:t>组会上需要进一步明确的事项</w:t>
      </w:r>
    </w:p>
    <w:p>
      <w:r>
        <w:t>第一，确定首个科学任务的优先级和评价问题：先做洪涝导致道路阻断，还是交通调度；明确需要验证哪一种模型预测或策略。</w:t>
      </w:r>
    </w:p>
    <w:p>
      <w:r>
        <w:t>第二，确定实际平台接口与样例数据：认证、状态字段、时间和坐标基准，以及能够合法使用的场景资产。</w:t>
      </w:r>
    </w:p>
    <w:p>
      <w:r>
        <w:t>第三，确定下一阶段的验收环境：目标设备、网络条件、活跃参与者数量和演示范围，再据此设定可重复的预算。</w:t>
      </w:r>
    </w:p>
    <w:p>
      <w:pPr>
        <w:pStyle w:val="Heading1"/>
        <w:pageBreakBefore/>
        <w:spacing w:before="0"/>
      </w:pPr>
      <w:r>
        <w:t>十一 组会演示顺序与资料索引</w:t>
      </w:r>
    </w:p>
    <w:p>
      <w:pPr>
        <w:pStyle w:val="Heading2"/>
      </w:pPr>
      <w:r>
        <w:t>建议现场演示顺序</w:t>
      </w:r>
    </w:p>
    <w:p>
      <w:r>
        <w:t>1  展示区域、15部件展馆和真实来源小建筑，先说明这些对象、地形和交互数据来自哪里。</w:t>
      </w:r>
    </w:p>
    <w:p>
      <w:r>
        <w:t>2  打开两个桌面客户端，或一个桌面和一个浏览器；在一端修改对象和门灯，观察另一端同步。</w:t>
      </w:r>
    </w:p>
    <w:p>
      <w:r>
        <w:t>3  让两个 Avatar 进入建筑，展示墙体、门和角色之间的碰撞，以及独立世界服务的作用。</w:t>
      </w:r>
    </w:p>
    <w:p>
      <w:r>
        <w:t>4  展示一次编辑冲突或权限拒绝，解释成功回执与“结果未知”，避免只演示正常路径。</w:t>
      </w:r>
    </w:p>
    <w:p>
      <w:r>
        <w:t>5  关闭客户端并重新进入；再展示已验证的服务重启恢复记录，说明保存范围和 Avatar 的瞬态性质。</w:t>
      </w:r>
    </w:p>
    <w:p>
      <w:r>
        <w:t>6  展示双浏览器启动数据，明确 Firefox 未达标，再说明 V6 如何接入真实智能体任务。</w:t>
      </w:r>
    </w:p>
    <w:p>
      <w:pPr>
        <w:spacing w:after="120"/>
      </w:pPr>
      <w:r>
        <w:rPr>
          <w:rFonts w:ascii="宋体" w:hAnsi="宋体" w:eastAsia="宋体" w:cs="宋体"/>
          <w:b w:val="0"/>
          <w:i w:val="0"/>
          <w:color w:val="454545"/>
          <w:sz w:val="19"/>
        </w:rPr>
        <w:t>网络演示使用 Start-Network.ps1 与 Start-NetworkClient.ps1；原有 Start.cmd 打开离线编辑器。现场使用独立演示实例，提前验证端口、证书及会话有效期。</w:t>
      </w:r>
    </w:p>
    <w:p>
      <w:pPr>
        <w:pStyle w:val="Heading2"/>
      </w:pPr>
      <w:r>
        <w:t>参考文档与验收依据</w:t>
      </w:r>
    </w:p>
    <w:p>
      <w:pPr>
        <w:spacing w:after="100" w:line="259" w:lineRule="auto"/>
      </w:pPr>
      <w:hyperlink r:id="rId14">
        <w:r>
          <w:rPr>
            <w:rFonts w:eastAsia="宋体" w:ascii="Arial"/>
            <w:color w:val="174A75"/>
            <w:sz w:val="19"/>
          </w:rPr>
          <w:t>[1] 老师总体报告</w:t>
        </w:r>
      </w:hyperlink>
      <w:r>
        <w:rPr>
          <w:rFonts w:ascii="宋体" w:hAnsi="宋体" w:eastAsia="宋体" w:cs="宋体"/>
          <w:b w:val="0"/>
          <w:i w:val="0"/>
          <w:color w:val="000000"/>
          <w:sz w:val="19"/>
        </w:rPr>
        <w:t xml:space="preserve">  《OpenSimulator与世界模型智能体网络平台融合集成分析报告》，V1.0，2026年9月15日。重点：第2至6章。</w:t>
      </w:r>
    </w:p>
    <w:p>
      <w:pPr>
        <w:spacing w:after="100" w:line="259" w:lineRule="auto"/>
      </w:pPr>
      <w:hyperlink r:id="rId15">
        <w:r>
          <w:rPr>
            <w:rFonts w:eastAsia="宋体" w:ascii="Arial"/>
            <w:color w:val="174A75"/>
            <w:sz w:val="19"/>
          </w:rPr>
          <w:t>[2] 老师客户端方案</w:t>
        </w:r>
      </w:hyperlink>
      <w:r>
        <w:rPr>
          <w:rFonts w:ascii="宋体" w:hAnsi="宋体" w:eastAsia="宋体" w:cs="宋体"/>
          <w:b w:val="0"/>
          <w:i w:val="0"/>
          <w:color w:val="000000"/>
          <w:sz w:val="19"/>
        </w:rPr>
        <w:t xml:space="preserve">  《基于Godot-WebGPU轻客户端的详细技术方案》，V1.0，2026年9月15日。重点：第2、4、5、7至9章。</w:t>
      </w:r>
    </w:p>
    <w:p>
      <w:pPr>
        <w:spacing w:after="100" w:line="259" w:lineRule="auto"/>
      </w:pPr>
      <w:hyperlink r:id="rId16">
        <w:r>
          <w:rPr>
            <w:rFonts w:eastAsia="宋体" w:ascii="Arial"/>
            <w:color w:val="174A75"/>
            <w:sz w:val="19"/>
          </w:rPr>
          <w:t>[3] V5 验收记录</w:t>
        </w:r>
      </w:hyperlink>
      <w:r>
        <w:rPr>
          <w:rFonts w:ascii="宋体" w:hAnsi="宋体" w:eastAsia="宋体" w:cs="宋体"/>
          <w:b w:val="0"/>
          <w:i w:val="0"/>
          <w:color w:val="000000"/>
          <w:sz w:val="19"/>
        </w:rPr>
        <w:t xml:space="preserve">  实现状态、原始测试、实际截图、冷启动样本及部署证据。</w:t>
      </w:r>
    </w:p>
    <w:p>
      <w:pPr>
        <w:spacing w:after="100" w:line="259" w:lineRule="auto"/>
      </w:pPr>
      <w:hyperlink r:id="rId17">
        <w:r>
          <w:rPr>
            <w:rFonts w:eastAsia="宋体" w:ascii="Arial"/>
            <w:color w:val="174A75"/>
            <w:sz w:val="19"/>
          </w:rPr>
          <w:t>[4] 现代区域 FP 0.3 合同</w:t>
        </w:r>
      </w:hyperlink>
      <w:r>
        <w:rPr>
          <w:rFonts w:ascii="宋体" w:hAnsi="宋体" w:eastAsia="宋体" w:cs="宋体"/>
          <w:b w:val="0"/>
          <w:i w:val="0"/>
          <w:color w:val="000000"/>
          <w:sz w:val="19"/>
        </w:rPr>
        <w:t xml:space="preserve">  权威边界、状态序列、命令回执、权限、移动及资产规则。</w:t>
      </w:r>
    </w:p>
    <w:p>
      <w:pPr>
        <w:spacing w:after="100" w:line="259" w:lineRule="auto"/>
      </w:pPr>
      <w:hyperlink r:id="rId18">
        <w:r>
          <w:rPr>
            <w:rFonts w:eastAsia="宋体" w:ascii="Arial"/>
            <w:color w:val="174A75"/>
            <w:sz w:val="19"/>
          </w:rPr>
          <w:t>[5] V4 验收记录</w:t>
        </w:r>
      </w:hyperlink>
      <w:r>
        <w:rPr>
          <w:rFonts w:ascii="宋体" w:hAnsi="宋体" w:eastAsia="宋体" w:cs="宋体"/>
          <w:b w:val="0"/>
          <w:i w:val="0"/>
          <w:color w:val="000000"/>
          <w:sz w:val="19"/>
        </w:rPr>
        <w:t xml:space="preserve">  固定原版运行、FP 网关、真实建筑和 SQLite 验证。</w:t>
      </w:r>
    </w:p>
    <w:p>
      <w:pPr>
        <w:spacing w:after="100" w:line="259" w:lineRule="auto"/>
      </w:pPr>
      <w:hyperlink r:id="rId19">
        <w:r>
          <w:rPr>
            <w:rFonts w:eastAsia="宋体" w:ascii="Arial"/>
            <w:color w:val="174A75"/>
            <w:sz w:val="19"/>
          </w:rPr>
          <w:t>[6] 目标与技术路线对齐</w:t>
        </w:r>
      </w:hyperlink>
      <w:r>
        <w:rPr>
          <w:rFonts w:ascii="宋体" w:hAnsi="宋体" w:eastAsia="宋体" w:cs="宋体"/>
          <w:b w:val="0"/>
          <w:i w:val="0"/>
          <w:color w:val="000000"/>
          <w:sz w:val="19"/>
        </w:rPr>
        <w:t xml:space="preserve">  原文目标到版本任务的映射，以及待验证技术假设。</w:t>
      </w:r>
    </w:p>
    <w:p>
      <w:pPr>
        <w:spacing w:line="259" w:lineRule="auto" w:after="100"/>
      </w:pPr>
      <w:hyperlink r:id="rId20">
        <w:r>
          <w:rPr>
            <w:rFonts w:eastAsia="宋体" w:ascii="Arial"/>
            <w:color w:val="174A75"/>
            <w:sz w:val="19"/>
          </w:rPr>
          <w:t>[7] Godot 4.5 官方 Web 导出说明</w:t>
        </w:r>
      </w:hyperlink>
      <w:r>
        <w:rPr>
          <w:rFonts w:ascii="宋体" w:hAnsi="宋体" w:eastAsia="宋体" w:cs="宋体"/>
          <w:b w:val="0"/>
          <w:i w:val="0"/>
          <w:color w:val="000000"/>
          <w:sz w:val="19"/>
        </w:rPr>
        <w:t xml:space="preserve">  WebGL2 与 C# Web 导出边界，核对日期2026年9月19日。</w:t>
      </w:r>
    </w:p>
    <w:p>
      <w:pPr>
        <w:spacing w:after="80"/>
      </w:pPr>
      <w:hyperlink r:id="rId21">
        <w:r>
          <w:rPr>
            <w:rFonts w:eastAsia="宋体" w:ascii="Arial"/>
            <w:color w:val="174A75"/>
            <w:sz w:val="19"/>
          </w:rPr>
          <w:t>V5 网络运行指南</w:t>
        </w:r>
      </w:hyperlink>
      <w:r>
        <w:t xml:space="preserve">    </w:t>
      </w:r>
      <w:hyperlink r:id="rId22">
        <w:r>
          <w:rPr>
            <w:rFonts w:eastAsia="宋体" w:ascii="Arial"/>
            <w:color w:val="174A75"/>
            <w:sz w:val="19"/>
          </w:rPr>
          <w:t>后续版本路线</w:t>
        </w:r>
      </w:hyperlink>
    </w:p>
    <w:p>
      <w:pPr>
        <w:spacing w:after="120"/>
      </w:pPr>
      <w:r>
        <w:rPr>
          <w:rFonts w:ascii="宋体" w:hAnsi="宋体" w:eastAsia="宋体" w:cs="宋体"/>
          <w:b w:val="0"/>
          <w:i w:val="0"/>
          <w:color w:val="454545"/>
          <w:sz w:val="19"/>
        </w:rPr>
        <w:t>汇报基于提交 b41c1b7，开发分支 codex/region-lab-v5。以上仓库链接固定到该提交；功能与测试状态以对应证据为准。</w:t>
      </w:r>
    </w:p>
    <w:sectPr w:rsidR="00FC693F" w:rsidRPr="0006063C" w:rsidSect="00034616">
      <w:footerReference w:type="default" r:id="rId9"/>
      <w:pgSz w:w="11906" w:h="16838"/>
      <w:pgMar w:top="1077" w:right="1191" w:bottom="1020" w:left="1191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i w:val="0"/>
        <w:color w:val="000000"/>
        <w:sz w:val="18"/>
      </w:rPr>
      <w:t xml:space="preserve">第 </w:t>
    </w:r>
    <w:fldSimple w:instr="PAGE"/>
    <w:r>
      <w:rPr>
        <w:rFonts w:ascii="宋体" w:hAnsi="宋体" w:eastAsia="宋体" w:cs="宋体"/>
        <w:b w:val="0"/>
        <w:i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40"/>
    </w:pPr>
    <w:rPr>
      <w:rFonts w:ascii="宋体" w:hAnsi="宋体" w:eastAsia="宋体" w:cs="宋体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="黑体" w:hAnsi="黑体" w:eastAsia="黑体" w:cs="黑体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="黑体" w:hAnsi="黑体" w:eastAsia="黑体" w:cs="黑体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="黑体" w:hAnsi="黑体" w:eastAsia="黑体" w:cs="黑体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黑体" w:hAnsi="黑体" w:eastAsia="黑体" w:cs="黑体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="黑体" w:hAnsi="黑体" w:eastAsia="黑体" w:cs="黑体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spacing w:line="293" w:lineRule="auto" w:after="140"/>
      <w:ind w:left="720"/>
      <w:contextualSpacing/>
    </w:pPr>
    <w:rPr>
      <w:rFonts w:ascii="宋体" w:hAnsi="宋体" w:eastAsia="宋体" w:cs="宋体"/>
      <w:b w:val="0"/>
      <w:i w:val="0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40" w:line="293" w:lineRule="auto"/>
    </w:pPr>
    <w:rPr>
      <w:rFonts w:ascii="宋体" w:hAnsi="宋体" w:eastAsia="宋体" w:cs="宋体"/>
      <w:b w:val="0"/>
      <w:i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60"/>
    </w:pPr>
    <w:rPr>
      <w:rFonts w:ascii="宋体" w:hAnsi="宋体" w:eastAsia="宋体" w:cs="宋体"/>
      <w:b w:val="0"/>
      <w:bCs/>
      <w:i w:val="0"/>
      <w:color w:val="454545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github.com/StarryLiu1122/OpenSim/blob/b41c1b7ef82c0066e8c54b9664ceb3198e67bcce/docs/references/teacher/2026-09-15/OpenSimulator&#19982;&#19990;&#30028;&#27169;&#22411;&#26234;&#33021;&#20307;&#32593;&#32476;&#24179;&#21488;&#34701;&#21512;&#38598;&#25104;&#20998;&#26512;&#25253;&#21578;.docx" TargetMode="External"/><Relationship Id="rId15" Type="http://schemas.openxmlformats.org/officeDocument/2006/relationships/hyperlink" Target="https://github.com/StarryLiu1122/OpenSim/blob/b41c1b7ef82c0066e8c54b9664ceb3198e67bcce/docs/references/teacher/2026-09-15/&#22522;&#20110;Godot-WebGPU&#36731;&#23458;&#25143;&#31471;&#30340;&#35814;&#32454;&#25216;&#26415;&#26041;&#26696;.docx" TargetMode="External"/><Relationship Id="rId16" Type="http://schemas.openxmlformats.org/officeDocument/2006/relationships/hyperlink" Target="https://github.com/StarryLiu1122/OpenSim/blob/b41c1b7ef82c0066e8c54b9664ceb3198e67bcce/docs/comparisons/v5-completion.md" TargetMode="External"/><Relationship Id="rId17" Type="http://schemas.openxmlformats.org/officeDocument/2006/relationships/hyperlink" Target="https://github.com/StarryLiu1122/OpenSim/blob/b41c1b7ef82c0066e8c54b9664ceb3198e67bcce/docs/contracts/network-v5.md" TargetMode="External"/><Relationship Id="rId18" Type="http://schemas.openxmlformats.org/officeDocument/2006/relationships/hyperlink" Target="https://github.com/StarryLiu1122/OpenSim/blob/b41c1b7ef82c0066e8c54b9664ceb3198e67bcce/docs/comparisons/v4-completion.md" TargetMode="External"/><Relationship Id="rId19" Type="http://schemas.openxmlformats.org/officeDocument/2006/relationships/hyperlink" Target="https://github.com/StarryLiu1122/OpenSim/blob/b41c1b7ef82c0066e8c54b9664ceb3198e67bcce/docs/plans/platform-integration-alignment.md" TargetMode="External"/><Relationship Id="rId20" Type="http://schemas.openxmlformats.org/officeDocument/2006/relationships/hyperlink" Target="https://docs.godotengine.org/en/4.5/tutorials/export/exporting_for_web.html" TargetMode="External"/><Relationship Id="rId21" Type="http://schemas.openxmlformats.org/officeDocument/2006/relationships/hyperlink" Target="https://github.com/StarryLiu1122/OpenSim/blob/b41c1b7ef82c0066e8c54b9664ceb3198e67bcce/prototype/docs/network-quickstart.md" TargetMode="External"/><Relationship Id="rId22" Type="http://schemas.openxmlformats.org/officeDocument/2006/relationships/hyperlink" Target="https://github.com/StarryLiu1122/OpenSim/blob/b41c1b7ef82c0066e8c54b9664ceb3198e67bcce/docs/plans/stage-one-rebuild-pla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 Lab V5 系统进展与组会汇报</dc:title>
  <dc:subject>依据项目指导文档汇报 V1 至 V5 的系统能力和验收状态</dc:subject>
  <dc:creator>Region Lab</dc:creator>
  <cp:keywords>OpenSimulator Godot V5 世界模型 智能体 组会</cp:keywords>
  <dc:description>generated by python-docx</dc:description>
  <cp:lastModifiedBy>Region Lab</cp:lastModifiedBy>
  <cp:revision>1</cp:revision>
  <dcterms:created xsi:type="dcterms:W3CDTF">2026-09-19T00:00:00Z</dcterms:created>
  <dcterms:modified xsi:type="dcterms:W3CDTF">2026-09-19T00:00:00Z</dcterms:modified>
  <cp:category/>
</cp:coreProperties>
</file>