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8500"/>
      </w:tblGrid>
      <w:tr>
        <w:tc>
          <w:tcPr>
            <w:tcW w:type="dxa" w:w="2500"/>
            <w:tcBorders>
              <w:top w:val="single" w:color="54565A" w:sz="48"/>
              <w:left w:val="single" w:color="54565A" w:sz="48"/>
              <w:bottom w:val="single" w:color="54565A" w:sz="48"/>
              <w:right w:val="none" w:color="FFFFFF" w:sz="0"/>
            </w:tcBorders>
            <w:shd w:fill="FFFFFF" w:color="auto" w:val="clear"/>
            <w:tcMar>
              <w:top w:type="dxa" w:w="100"/>
              <w:left w:type="dxa" w:w="120"/>
              <w:bottom w:type="dxa" w:w="100"/>
              <w:right w:type="dxa" w:w="120"/>
            </w:tcMar>
            <w:vAlign w:val="center"/>
          </w:tcPr>
          <w:p>
            <w:pPr>
              <w:jc w:val="center"/>
            </w:pPr>
            <w:r>
              <w:drawing>
                <wp:inline distT="0" distB="0" distL="0" distR="0">
                  <wp:extent cx="12192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19200" cy="923925"/>
                          </a:xfrm>
                          <a:prstGeom prst="rect">
                            <a:avLst/>
                          </a:prstGeom>
                        </pic:spPr>
                      </pic:pic>
                    </a:graphicData>
                  </a:graphic>
                </wp:inline>
              </w:drawing>
            </w:r>
          </w:p>
        </w:tc>
        <w:tc>
          <w:tcPr>
            <w:tcW w:type="dxa" w:w="8500"/>
            <w:tcBorders>
              <w:top w:val="none" w:color="FFFFFF" w:sz="0"/>
              <w:left w:val="none" w:color="FFFFFF" w:sz="0"/>
              <w:bottom w:val="none" w:color="FFFFFF" w:sz="0"/>
              <w:right w:val="none" w:color="FFFFFF" w:sz="0"/>
            </w:tcBorders>
            <w:shd w:fill="54565A" w:color="auto" w:val="clear"/>
            <w:tcMar>
              <w:top w:type="dxa" w:w="160"/>
              <w:left w:type="dxa" w:w="260"/>
              <w:bottom w:type="dxa" w:w="160"/>
              <w:right w:type="dxa" w:w="240"/>
            </w:tcMar>
            <w:vAlign w:val="center"/>
          </w:tcPr>
          <w:p>
            <w:pPr>
              <w:spacing w:after="100" w:before="0" w:line="264" w:lineRule="auto"/>
            </w:pPr>
            <w:r>
              <w:rPr>
                <w:rFonts w:ascii="Calibri" w:cs="Calibri" w:eastAsia="Calibri" w:hAnsi="Calibri"/>
                <w:b/>
                <w:bCs/>
                <w:color w:val="E2E1E7"/>
                <w:spacing w:val="20"/>
                <w:sz w:val="16"/>
                <w:szCs w:val="16"/>
              </w:rPr>
              <w:t xml:space="preserve">CLEAN ENERGY ACTION COALITION  |  BATTERY STORAGE BRIEFING</w:t>
            </w:r>
          </w:p>
          <w:p>
            <w:pPr>
              <w:spacing w:after="80" w:before="40" w:line="276" w:lineRule="auto"/>
            </w:pPr>
            <w:r>
              <w:rPr>
                <w:rFonts w:ascii="Calibri" w:cs="Calibri" w:eastAsia="Calibri" w:hAnsi="Calibri"/>
                <w:b/>
                <w:bCs/>
                <w:color w:val="FFFFFF"/>
                <w:sz w:val="38"/>
                <w:szCs w:val="38"/>
              </w:rPr>
              <w:t xml:space="preserve">Battery Storage in Westchester: What Local Leaders Should Know</w:t>
            </w:r>
          </w:p>
          <w:p>
            <w:pPr>
              <w:spacing w:after="0" w:before="0" w:line="264" w:lineRule="auto"/>
            </w:pPr>
            <w:r>
              <w:rPr>
                <w:rFonts w:ascii="Calibri" w:cs="Calibri" w:eastAsia="Calibri" w:hAnsi="Calibri"/>
                <w:color w:val="E2E1E7"/>
                <w:sz w:val="19"/>
                <w:szCs w:val="19"/>
              </w:rPr>
              <w:t xml:space="preserve">The evidence, the rules and the local track record, drawn from the CEAC Battery Storage Dashboard. Updated October 2026.</w:t>
            </w:r>
          </w:p>
        </w:tc>
      </w:tr>
    </w:tbl>
    <w:p>
      <w:pPr>
        <w:spacing w:after="80" w:before="100" w:line="264" w:lineRule="auto"/>
      </w:pPr>
      <w:r>
        <w:rPr>
          <w:rFonts w:ascii="Calibri" w:cs="Calibri" w:eastAsia="Calibri" w:hAnsi="Calibri"/>
          <w:color w:val="54565A"/>
          <w:sz w:val="18"/>
          <w:szCs w:val="18"/>
        </w:rPr>
        <w:t xml:space="preserve">Prepared for the </w:t>
      </w:r>
      <w:r>
        <w:rPr>
          <w:rFonts w:ascii="Calibri" w:cs="Calibri" w:eastAsia="Calibri" w:hAnsi="Calibri"/>
          <w:b/>
          <w:bCs/>
          <w:color w:val="1A1818"/>
          <w:sz w:val="17"/>
          <w:szCs w:val="17"/>
        </w:rPr>
        <w:t xml:space="preserve">Westchester County Battery Energy Storage Conference</w:t>
      </w:r>
      <w:r>
        <w:rPr>
          <w:rFonts w:ascii="Calibri" w:cs="Calibri" w:eastAsia="Calibri" w:hAnsi="Calibri"/>
          <w:color w:val="54565A"/>
          <w:sz w:val="17"/>
          <w:szCs w:val="17"/>
        </w:rPr>
        <w:t xml:space="preserve">  |  Monday, October 19, 2026  |  Westchester County Center, White Plains</w:t>
      </w:r>
    </w:p>
    <w:tbl>
      <w:tblPr>
        <w:tblW w:type="dxa" w:w="11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60"/>
        <w:gridCol w:w="120"/>
        <w:gridCol w:w="2660"/>
        <w:gridCol w:w="120"/>
        <w:gridCol w:w="2660"/>
        <w:gridCol w:w="120"/>
        <w:gridCol w:w="2660"/>
      </w:tblGrid>
      <w:tr>
        <w:tc>
          <w:tcPr>
            <w:tcW w:type="dxa" w:w="2660"/>
            <w:tcBorders>
              <w:top w:val="single" w:color="BE1E2D" w:sz="18"/>
              <w:left w:val="none" w:color="FFFFFF" w:sz="0"/>
              <w:bottom w:val="none" w:color="FFFFFF" w:sz="0"/>
              <w:right w:val="none" w:color="FFFFFF" w:sz="0"/>
            </w:tcBorders>
            <w:shd w:fill="F3F2F5" w:color="auto" w:val="clear"/>
            <w:tcMar>
              <w:top w:type="dxa" w:w="170"/>
              <w:left w:type="dxa" w:w="140"/>
              <w:bottom w:type="dxa" w:w="130"/>
              <w:right w:type="dxa" w:w="120"/>
            </w:tcMar>
            <w:vAlign w:val="top"/>
          </w:tcPr>
          <w:p>
            <w:pPr>
              <w:spacing w:after="40" w:before="90" w:line="240" w:lineRule="auto"/>
            </w:pPr>
            <w:r>
              <w:rPr>
                <w:rFonts w:ascii="Calibri" w:cs="Calibri" w:eastAsia="Calibri" w:hAnsi="Calibri"/>
                <w:b/>
                <w:bCs/>
                <w:color w:val="1A1818"/>
                <w:sz w:val="52"/>
                <w:szCs w:val="52"/>
              </w:rPr>
              <w:t xml:space="preserve">99%</w:t>
            </w:r>
            <w:r>
              <w:rPr>
                <w:rFonts w:ascii="Calibri" w:cs="Calibri" w:eastAsia="Calibri" w:hAnsi="Calibri"/>
                <w:b/>
                <w:bCs/>
                <w:color w:val="1A1818"/>
                <w:sz w:val="20"/>
                <w:szCs w:val="20"/>
              </w:rPr>
              <w:t xml:space="preserve"> lower</w:t>
            </w:r>
          </w:p>
          <w:p>
            <w:pPr>
              <w:spacing w:after="0" w:before="0" w:line="240" w:lineRule="auto"/>
            </w:pPr>
            <w:r>
              <w:rPr>
                <w:rFonts w:ascii="Calibri" w:cs="Calibri" w:eastAsia="Calibri" w:hAnsi="Calibri"/>
                <w:color w:val="54565A"/>
                <w:sz w:val="18"/>
                <w:szCs w:val="18"/>
              </w:rPr>
              <w:t xml:space="preserve">incident rate for grid batteries since 2018, while U.S. grid storage grew about 50 times over. (EPRI, EIA)</w:t>
            </w:r>
          </w:p>
        </w:tc>
        <w:tc>
          <w:tcPr>
            <w:tcW w:type="dxa" w:w="1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0" w:line="264" w:lineRule="auto"/>
            </w:pPr>
            <w:r>
              <w:rPr>
                <w:rFonts w:ascii="Calibri" w:cs="Calibri" w:eastAsia="Calibri" w:hAnsi="Calibri"/>
                <w:color w:val="1A1818"/>
                <w:sz w:val="21"/>
                <w:szCs w:val="21"/>
              </w:rPr>
              <w:t xml:space="preserve"/>
            </w:r>
          </w:p>
        </w:tc>
        <w:tc>
          <w:tcPr>
            <w:tcW w:type="dxa" w:w="2660"/>
            <w:tcBorders>
              <w:top w:val="single" w:color="3E7D57" w:sz="18"/>
              <w:left w:val="none" w:color="FFFFFF" w:sz="0"/>
              <w:bottom w:val="none" w:color="FFFFFF" w:sz="0"/>
              <w:right w:val="none" w:color="FFFFFF" w:sz="0"/>
            </w:tcBorders>
            <w:shd w:fill="F3F2F5" w:color="auto" w:val="clear"/>
            <w:tcMar>
              <w:top w:type="dxa" w:w="170"/>
              <w:left w:type="dxa" w:w="140"/>
              <w:bottom w:type="dxa" w:w="130"/>
              <w:right w:type="dxa" w:w="120"/>
            </w:tcMar>
            <w:vAlign w:val="top"/>
          </w:tcPr>
          <w:p>
            <w:pPr>
              <w:spacing w:after="40" w:before="90" w:line="240" w:lineRule="auto"/>
            </w:pPr>
            <w:r>
              <w:rPr>
                <w:rFonts w:ascii="Calibri" w:cs="Calibri" w:eastAsia="Calibri" w:hAnsi="Calibri"/>
                <w:b/>
                <w:bCs/>
                <w:color w:val="3E7D57"/>
                <w:sz w:val="52"/>
                <w:szCs w:val="52"/>
              </w:rPr>
              <w:t xml:space="preserve">0</w:t>
            </w:r>
            <w:r>
              <w:rPr>
                <w:rFonts w:ascii="Calibri" w:cs="Calibri" w:eastAsia="Calibri" w:hAnsi="Calibri"/>
                <w:b/>
                <w:bCs/>
                <w:color w:val="3E7D57"/>
                <w:sz w:val="20"/>
                <w:szCs w:val="20"/>
              </w:rPr>
              <w:t xml:space="preserve"/>
            </w:r>
          </w:p>
          <w:p>
            <w:pPr>
              <w:spacing w:after="0" w:before="0" w:line="240" w:lineRule="auto"/>
            </w:pPr>
            <w:r>
              <w:rPr>
                <w:rFonts w:ascii="Calibri" w:cs="Calibri" w:eastAsia="Calibri" w:hAnsi="Calibri"/>
                <w:color w:val="54565A"/>
                <w:sz w:val="18"/>
                <w:szCs w:val="18"/>
              </w:rPr>
              <w:t xml:space="preserve">civilian deaths or injuries from U.S. grid battery incidents, 2012 to 2024. (EPRI incident records)</w:t>
            </w:r>
          </w:p>
        </w:tc>
        <w:tc>
          <w:tcPr>
            <w:tcW w:type="dxa" w:w="1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0" w:line="264" w:lineRule="auto"/>
            </w:pPr>
            <w:r>
              <w:rPr>
                <w:rFonts w:ascii="Calibri" w:cs="Calibri" w:eastAsia="Calibri" w:hAnsi="Calibri"/>
                <w:color w:val="1A1818"/>
                <w:sz w:val="21"/>
                <w:szCs w:val="21"/>
              </w:rPr>
              <w:t xml:space="preserve"/>
            </w:r>
          </w:p>
        </w:tc>
        <w:tc>
          <w:tcPr>
            <w:tcW w:type="dxa" w:w="2660"/>
            <w:tcBorders>
              <w:top w:val="single" w:color="BE1E2D" w:sz="18"/>
              <w:left w:val="none" w:color="FFFFFF" w:sz="0"/>
              <w:bottom w:val="none" w:color="FFFFFF" w:sz="0"/>
              <w:right w:val="none" w:color="FFFFFF" w:sz="0"/>
            </w:tcBorders>
            <w:shd w:fill="F3F2F5" w:color="auto" w:val="clear"/>
            <w:tcMar>
              <w:top w:type="dxa" w:w="170"/>
              <w:left w:type="dxa" w:w="140"/>
              <w:bottom w:type="dxa" w:w="130"/>
              <w:right w:type="dxa" w:w="120"/>
            </w:tcMar>
            <w:vAlign w:val="top"/>
          </w:tcPr>
          <w:p>
            <w:pPr>
              <w:spacing w:after="40" w:before="90" w:line="240" w:lineRule="auto"/>
            </w:pPr>
            <w:r>
              <w:rPr>
                <w:rFonts w:ascii="Calibri" w:cs="Calibri" w:eastAsia="Calibri" w:hAnsi="Calibri"/>
                <w:b/>
                <w:bCs/>
                <w:color w:val="1A1818"/>
                <w:sz w:val="52"/>
                <w:szCs w:val="52"/>
              </w:rPr>
              <w:t xml:space="preserve">15</w:t>
            </w:r>
            <w:r>
              <w:rPr>
                <w:rFonts w:ascii="Calibri" w:cs="Calibri" w:eastAsia="Calibri" w:hAnsi="Calibri"/>
                <w:b/>
                <w:bCs/>
                <w:color w:val="1A1818"/>
                <w:sz w:val="20"/>
                <w:szCs w:val="20"/>
              </w:rPr>
              <w:t xml:space="preserve"> months</w:t>
            </w:r>
          </w:p>
          <w:p>
            <w:pPr>
              <w:spacing w:after="0" w:before="0" w:line="240" w:lineRule="auto"/>
            </w:pPr>
            <w:r>
              <w:rPr>
                <w:rFonts w:ascii="Calibri" w:cs="Calibri" w:eastAsia="Calibri" w:hAnsi="Calibri"/>
                <w:color w:val="54565A"/>
                <w:sz w:val="18"/>
                <w:szCs w:val="18"/>
              </w:rPr>
              <w:t xml:space="preserve">for a grid battery to pay back the carbon from its manufacture on today's Westchester grid. (EPA eGRID, NREL)</w:t>
            </w:r>
          </w:p>
        </w:tc>
        <w:tc>
          <w:tcPr>
            <w:tcW w:type="dxa" w:w="1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0" w:line="264" w:lineRule="auto"/>
            </w:pPr>
            <w:r>
              <w:rPr>
                <w:rFonts w:ascii="Calibri" w:cs="Calibri" w:eastAsia="Calibri" w:hAnsi="Calibri"/>
                <w:color w:val="1A1818"/>
                <w:sz w:val="21"/>
                <w:szCs w:val="21"/>
              </w:rPr>
              <w:t xml:space="preserve"/>
            </w:r>
          </w:p>
        </w:tc>
        <w:tc>
          <w:tcPr>
            <w:tcW w:type="dxa" w:w="2660"/>
            <w:tcBorders>
              <w:top w:val="single" w:color="BE1E2D" w:sz="18"/>
              <w:left w:val="none" w:color="FFFFFF" w:sz="0"/>
              <w:bottom w:val="none" w:color="FFFFFF" w:sz="0"/>
              <w:right w:val="none" w:color="FFFFFF" w:sz="0"/>
            </w:tcBorders>
            <w:shd w:fill="F3F2F5" w:color="auto" w:val="clear"/>
            <w:tcMar>
              <w:top w:type="dxa" w:w="170"/>
              <w:left w:type="dxa" w:w="140"/>
              <w:bottom w:type="dxa" w:w="130"/>
              <w:right w:type="dxa" w:w="120"/>
            </w:tcMar>
            <w:vAlign w:val="top"/>
          </w:tcPr>
          <w:p>
            <w:pPr>
              <w:spacing w:after="40" w:before="90" w:line="240" w:lineRule="auto"/>
            </w:pPr>
            <w:r>
              <w:rPr>
                <w:rFonts w:ascii="Calibri" w:cs="Calibri" w:eastAsia="Calibri" w:hAnsi="Calibri"/>
                <w:b/>
                <w:bCs/>
                <w:color w:val="1A1818"/>
                <w:sz w:val="52"/>
                <w:szCs w:val="52"/>
              </w:rPr>
              <w:t xml:space="preserve">209</w:t>
            </w:r>
            <w:r>
              <w:rPr>
                <w:rFonts w:ascii="Calibri" w:cs="Calibri" w:eastAsia="Calibri" w:hAnsi="Calibri"/>
                <w:b/>
                <w:bCs/>
                <w:color w:val="1A1818"/>
                <w:sz w:val="20"/>
                <w:szCs w:val="20"/>
              </w:rPr>
              <w:t xml:space="preserve"> homes</w:t>
            </w:r>
          </w:p>
          <w:p>
            <w:pPr>
              <w:spacing w:after="0" w:before="0" w:line="240" w:lineRule="auto"/>
            </w:pPr>
            <w:r>
              <w:rPr>
                <w:rFonts w:ascii="Calibri" w:cs="Calibri" w:eastAsia="Calibri" w:hAnsi="Calibri"/>
                <w:color w:val="54565A"/>
                <w:sz w:val="18"/>
                <w:szCs w:val="18"/>
              </w:rPr>
              <w:t xml:space="preserve">One Tesla Megapack can supply about 209 New York homes for a day, and fits in about one parking space.</w:t>
            </w:r>
          </w:p>
        </w:tc>
      </w:tr>
    </w:tbl>
    <w:tbl>
      <w:tblPr>
        <w:tblW w:type="dxa" w:w="11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0"/>
        <w:gridCol w:w="360"/>
        <w:gridCol w:w="5320"/>
      </w:tblGrid>
      <w:tr>
        <w:tc>
          <w:tcPr>
            <w:tcW w:type="dxa" w:w="53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keepNext/>
              <w:pBdr>
                <w:bottom w:val="single" w:color="E2E1E7" w:sz="12" w:space="2"/>
              </w:pBdr>
              <w:spacing w:after="50" w:before="220" w:line="264" w:lineRule="auto"/>
            </w:pPr>
            <w:r>
              <w:rPr>
                <w:rFonts w:ascii="Calibri" w:cs="Calibri" w:eastAsia="Calibri" w:hAnsi="Calibri"/>
                <w:b/>
                <w:bCs/>
                <w:color w:val="BE1E2D"/>
                <w:spacing w:val="20"/>
                <w:sz w:val="17"/>
                <w:szCs w:val="17"/>
              </w:rPr>
              <w:t xml:space="preserve">ALREADY WORKING HERE</w:t>
            </w:r>
          </w:p>
          <w:p>
            <w:pPr>
              <w:spacing w:after="110" w:before="0" w:line="264" w:lineRule="auto"/>
            </w:pPr>
            <w:r>
              <w:rPr>
                <w:rFonts w:ascii="Calibri" w:cs="Calibri" w:eastAsia="Calibri" w:hAnsi="Calibri"/>
                <w:color w:val="1A1818"/>
                <w:sz w:val="21"/>
                <w:szCs w:val="21"/>
              </w:rPr>
              <w:t xml:space="preserve">Three community batteries of about 4 to 5 MW each have operated in Westchester since 2025: two on church land (St. Augustine in Ossining and Hawthorne Reformed Church) and one behind a garage in Yorktown, on sites that were already developed.</w:t>
            </w:r>
          </w:p>
          <w:p>
            <w:pPr>
              <w:spacing w:after="110" w:before="0" w:line="264" w:lineRule="auto"/>
            </w:pPr>
            <w:r>
              <w:rPr>
                <w:rFonts w:ascii="Calibri" w:cs="Calibri" w:eastAsia="Calibri" w:hAnsi="Calibri"/>
                <w:color w:val="1A1818"/>
                <w:sz w:val="21"/>
                <w:szCs w:val="21"/>
              </w:rPr>
              <w:t xml:space="preserve">Tarrytown's Planning Board approved a 20 MWh battery 4 to 0 in September 2025, with 100 ft setbacks and 200 ft from any home.</w:t>
            </w:r>
          </w:p>
          <w:p>
            <w:pPr>
              <w:keepNext/>
              <w:pBdr>
                <w:bottom w:val="single" w:color="E2E1E7" w:sz="12" w:space="2"/>
              </w:pBdr>
              <w:spacing w:after="50" w:before="220" w:line="264" w:lineRule="auto"/>
            </w:pPr>
            <w:r>
              <w:rPr>
                <w:rFonts w:ascii="Calibri" w:cs="Calibri" w:eastAsia="Calibri" w:hAnsi="Calibri"/>
                <w:b/>
                <w:bCs/>
                <w:color w:val="BE1E2D"/>
                <w:spacing w:val="20"/>
                <w:sz w:val="17"/>
                <w:szCs w:val="17"/>
              </w:rPr>
              <w:t xml:space="preserve">SAFETY RULES ARE IN PLACE</w:t>
            </w:r>
          </w:p>
          <w:p>
            <w:pPr>
              <w:pStyle w:val="ListParagraph"/>
              <w:numPr>
                <w:ilvl w:val="0"/>
                <w:numId w:val="2"/>
              </w:numPr>
              <w:spacing w:after="80" w:line="264" w:lineRule="auto"/>
            </w:pPr>
            <w:r>
              <w:rPr>
                <w:rFonts w:ascii="Calibri" w:cs="Calibri" w:eastAsia="Calibri" w:hAnsi="Calibri"/>
                <w:color w:val="1A1818"/>
                <w:sz w:val="21"/>
                <w:szCs w:val="21"/>
              </w:rPr>
              <w:t xml:space="preserve">The 2025 Fire Code of New York State took effect December 31, 2025. Its battery rules follow NFPA 855, the national standard, which spaces equipment using large-scale fire tests.</w:t>
            </w:r>
          </w:p>
          <w:p>
            <w:pPr>
              <w:pStyle w:val="ListParagraph"/>
              <w:numPr>
                <w:ilvl w:val="0"/>
                <w:numId w:val="2"/>
              </w:numPr>
              <w:spacing w:after="80" w:line="264" w:lineRule="auto"/>
            </w:pPr>
            <w:r>
              <w:rPr>
                <w:rFonts w:ascii="Calibri" w:cs="Calibri" w:eastAsia="Calibri" w:hAnsi="Calibri"/>
                <w:color w:val="1A1818"/>
                <w:sz w:val="21"/>
                <w:szCs w:val="21"/>
              </w:rPr>
              <w:t xml:space="preserve">Westchester County's 2025 law requires municipalities to notify the County of every battery site, so responders know where they are.</w:t>
            </w:r>
          </w:p>
          <w:p>
            <w:pPr>
              <w:pStyle w:val="ListParagraph"/>
              <w:numPr>
                <w:ilvl w:val="0"/>
                <w:numId w:val="2"/>
              </w:numPr>
              <w:spacing w:after="80" w:line="264" w:lineRule="auto"/>
            </w:pPr>
            <w:r>
              <w:rPr>
                <w:rFonts w:ascii="Calibri" w:cs="Calibri" w:eastAsia="Calibri" w:hAnsi="Calibri"/>
                <w:color w:val="1A1818"/>
                <w:sz w:val="21"/>
                <w:szCs w:val="21"/>
              </w:rPr>
              <w:t xml:space="preserve">Over 90% of new stationary storage in 2025 used LFP batteries, a steadier chemistry with no cobalt or nickel.</w:t>
            </w:r>
          </w:p>
          <w:p>
            <w:pPr>
              <w:pStyle w:val="ListParagraph"/>
              <w:numPr>
                <w:ilvl w:val="0"/>
                <w:numId w:val="2"/>
              </w:numPr>
              <w:spacing w:after="80" w:line="264" w:lineRule="auto"/>
            </w:pPr>
            <w:r>
              <w:rPr>
                <w:rFonts w:ascii="Calibri" w:cs="Calibri" w:eastAsia="Calibri" w:hAnsi="Calibri"/>
                <w:color w:val="1A1818"/>
                <w:sz w:val="21"/>
                <w:szCs w:val="21"/>
              </w:rPr>
              <w:t xml:space="preserve">Free state training for fire departments is available from NYS DHSES and can be hosted locally.</w:t>
            </w:r>
          </w:p>
          <w:p>
            <w:pPr>
              <w:keepNext/>
              <w:pBdr>
                <w:bottom w:val="single" w:color="E2E1E7" w:sz="12" w:space="2"/>
              </w:pBdr>
              <w:spacing w:after="50" w:before="220" w:line="264" w:lineRule="auto"/>
            </w:pPr>
            <w:r>
              <w:rPr>
                <w:rFonts w:ascii="Calibri" w:cs="Calibri" w:eastAsia="Calibri" w:hAnsi="Calibri"/>
                <w:b/>
                <w:bCs/>
                <w:color w:val="BE1E2D"/>
                <w:spacing w:val="20"/>
                <w:sz w:val="17"/>
                <w:szCs w:val="17"/>
              </w:rPr>
              <w:t xml:space="preserve">HOW MUCH ROOM STORAGE NEEDS</w:t>
            </w:r>
          </w:p>
          <w:p>
            <w:pPr>
              <w:spacing w:after="110" w:before="0" w:line="264" w:lineRule="auto"/>
            </w:pPr>
            <w:r>
              <w:rPr>
                <w:rFonts w:ascii="Calibri" w:cs="Calibri" w:eastAsia="Calibri" w:hAnsi="Calibri"/>
                <w:color w:val="1A1818"/>
                <w:sz w:val="21"/>
                <w:szCs w:val="21"/>
              </w:rPr>
              <w:t xml:space="preserve">The batteries themselves are compact. What uses land is the setback a town sets. Tarrytown, Ossining and Greenburgh each require 100 ft, which keeps about 1.55 acres clear around a Tarrytown-size site. NYSERDA's model law lets larger systems meet the setbacks a zoning district already sets for buildings.</w:t>
            </w:r>
          </w:p>
        </w:tc>
        <w:tc>
          <w:tcPr>
            <w:tcW w:type="dxa" w:w="3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0" w:line="264" w:lineRule="auto"/>
            </w:pPr>
            <w:r>
              <w:rPr>
                <w:rFonts w:ascii="Calibri" w:cs="Calibri" w:eastAsia="Calibri" w:hAnsi="Calibri"/>
                <w:color w:val="1A1818"/>
                <w:sz w:val="21"/>
                <w:szCs w:val="21"/>
              </w:rPr>
              <w:t xml:space="preserve"/>
            </w:r>
          </w:p>
        </w:tc>
        <w:tc>
          <w:tcPr>
            <w:tcW w:type="dxa" w:w="53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keepNext/>
              <w:pBdr>
                <w:bottom w:val="single" w:color="E2E1E7" w:sz="12" w:space="2"/>
              </w:pBdr>
              <w:spacing w:after="50" w:before="220" w:line="264" w:lineRule="auto"/>
            </w:pPr>
            <w:r>
              <w:rPr>
                <w:rFonts w:ascii="Calibri" w:cs="Calibri" w:eastAsia="Calibri" w:hAnsi="Calibri"/>
                <w:b/>
                <w:bCs/>
                <w:color w:val="BE1E2D"/>
                <w:spacing w:val="20"/>
                <w:sz w:val="17"/>
                <w:szCs w:val="17"/>
              </w:rPr>
              <w:t xml:space="preserve">WHERE WESTCHESTER'S 45 MUNICIPALITIES STAND</w:t>
            </w:r>
          </w:p>
          <w:tbl>
            <w:tblPr>
              <w:tblW w:type="dxa" w:w="532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4760"/>
            </w:tblGrid>
            <w:tr>
              <w:tc>
                <w:tcPr>
                  <w:tcW w:type="dxa" w:w="560"/>
                  <w:tcBorders>
                    <w:top w:val="none" w:color="FFFFFF" w:sz="0"/>
                    <w:left w:val="none" w:color="FFFFFF" w:sz="0"/>
                    <w:bottom w:val="none" w:color="FFFFFF" w:sz="0"/>
                    <w:right w:val="none" w:color="FFFFFF" w:sz="0"/>
                  </w:tcBorders>
                  <w:tcMar>
                    <w:top w:type="dxa" w:w="10"/>
                    <w:left w:type="dxa" w:w="0"/>
                    <w:bottom w:type="dxa" w:w="10"/>
                    <w:right w:type="dxa" w:w="140"/>
                  </w:tcMar>
                  <w:vAlign w:val="top"/>
                </w:tcPr>
                <w:p>
                  <w:pPr>
                    <w:spacing w:after="0" w:before="0" w:line="264" w:lineRule="auto"/>
                    <w:jc w:val="right"/>
                  </w:pPr>
                  <w:r>
                    <w:rPr>
                      <w:rFonts w:ascii="Calibri" w:cs="Calibri" w:eastAsia="Calibri" w:hAnsi="Calibri"/>
                      <w:b/>
                      <w:bCs/>
                      <w:color w:val="3E7D57"/>
                      <w:sz w:val="24"/>
                      <w:szCs w:val="24"/>
                    </w:rPr>
                    <w:t xml:space="preserve">13</w:t>
                  </w:r>
                </w:p>
              </w:tc>
              <w:tc>
                <w:tcPr>
                  <w:tcW w:type="dxa" w:w="4760"/>
                  <w:tcBorders>
                    <w:top w:val="none" w:color="FFFFFF" w:sz="0"/>
                    <w:left w:val="none" w:color="FFFFFF" w:sz="0"/>
                    <w:bottom w:val="none" w:color="FFFFFF" w:sz="0"/>
                    <w:right w:val="none" w:color="FFFFFF" w:sz="0"/>
                  </w:tcBorders>
                  <w:tcMar>
                    <w:top w:type="dxa" w:w="30"/>
                    <w:left w:type="dxa" w:w="0"/>
                    <w:bottom w:type="dxa" w:w="10"/>
                    <w:right w:type="dxa" w:w="0"/>
                  </w:tcMar>
                  <w:vAlign w:val="top"/>
                </w:tcPr>
                <w:p>
                  <w:pPr>
                    <w:spacing w:after="0" w:before="0" w:line="264" w:lineRule="auto"/>
                  </w:pPr>
                  <w:r>
                    <w:rPr>
                      <w:rFonts w:ascii="Calibri" w:cs="Calibri" w:eastAsia="Calibri" w:hAnsi="Calibri"/>
                      <w:color w:val="1A1818"/>
                      <w:sz w:val="18"/>
                      <w:szCs w:val="18"/>
                    </w:rPr>
                    <w:t xml:space="preserve">allow battery storage</w:t>
                  </w:r>
                </w:p>
              </w:tc>
            </w:tr>
            <w:tr>
              <w:tc>
                <w:tcPr>
                  <w:tcW w:type="dxa" w:w="560"/>
                  <w:tcBorders>
                    <w:top w:val="none" w:color="FFFFFF" w:sz="0"/>
                    <w:left w:val="none" w:color="FFFFFF" w:sz="0"/>
                    <w:bottom w:val="none" w:color="FFFFFF" w:sz="0"/>
                    <w:right w:val="none" w:color="FFFFFF" w:sz="0"/>
                  </w:tcBorders>
                  <w:tcMar>
                    <w:top w:type="dxa" w:w="10"/>
                    <w:left w:type="dxa" w:w="0"/>
                    <w:bottom w:type="dxa" w:w="10"/>
                    <w:right w:type="dxa" w:w="140"/>
                  </w:tcMar>
                  <w:vAlign w:val="top"/>
                </w:tcPr>
                <w:p>
                  <w:pPr>
                    <w:spacing w:after="0" w:before="0" w:line="264" w:lineRule="auto"/>
                    <w:jc w:val="right"/>
                  </w:pPr>
                  <w:r>
                    <w:rPr>
                      <w:rFonts w:ascii="Calibri" w:cs="Calibri" w:eastAsia="Calibri" w:hAnsi="Calibri"/>
                      <w:b/>
                      <w:bCs/>
                      <w:color w:val="B8791B"/>
                      <w:sz w:val="24"/>
                      <w:szCs w:val="24"/>
                    </w:rPr>
                    <w:t xml:space="preserve">9</w:t>
                  </w:r>
                </w:p>
              </w:tc>
              <w:tc>
                <w:tcPr>
                  <w:tcW w:type="dxa" w:w="4760"/>
                  <w:tcBorders>
                    <w:top w:val="none" w:color="FFFFFF" w:sz="0"/>
                    <w:left w:val="none" w:color="FFFFFF" w:sz="0"/>
                    <w:bottom w:val="none" w:color="FFFFFF" w:sz="0"/>
                    <w:right w:val="none" w:color="FFFFFF" w:sz="0"/>
                  </w:tcBorders>
                  <w:tcMar>
                    <w:top w:type="dxa" w:w="30"/>
                    <w:left w:type="dxa" w:w="0"/>
                    <w:bottom w:type="dxa" w:w="10"/>
                    <w:right w:type="dxa" w:w="0"/>
                  </w:tcMar>
                  <w:vAlign w:val="top"/>
                </w:tcPr>
                <w:p>
                  <w:pPr>
                    <w:spacing w:after="0" w:before="0" w:line="264" w:lineRule="auto"/>
                  </w:pPr>
                  <w:r>
                    <w:rPr>
                      <w:rFonts w:ascii="Calibri" w:cs="Calibri" w:eastAsia="Calibri" w:hAnsi="Calibri"/>
                      <w:color w:val="1A1818"/>
                      <w:sz w:val="18"/>
                      <w:szCs w:val="18"/>
                    </w:rPr>
                    <w:t xml:space="preserve">have a restrictive code</w:t>
                  </w:r>
                </w:p>
              </w:tc>
            </w:tr>
            <w:tr>
              <w:tc>
                <w:tcPr>
                  <w:tcW w:type="dxa" w:w="560"/>
                  <w:tcBorders>
                    <w:top w:val="none" w:color="FFFFFF" w:sz="0"/>
                    <w:left w:val="none" w:color="FFFFFF" w:sz="0"/>
                    <w:bottom w:val="none" w:color="FFFFFF" w:sz="0"/>
                    <w:right w:val="none" w:color="FFFFFF" w:sz="0"/>
                  </w:tcBorders>
                  <w:tcMar>
                    <w:top w:type="dxa" w:w="10"/>
                    <w:left w:type="dxa" w:w="0"/>
                    <w:bottom w:type="dxa" w:w="10"/>
                    <w:right w:type="dxa" w:w="140"/>
                  </w:tcMar>
                  <w:vAlign w:val="top"/>
                </w:tcPr>
                <w:p>
                  <w:pPr>
                    <w:spacing w:after="0" w:before="0" w:line="264" w:lineRule="auto"/>
                    <w:jc w:val="right"/>
                  </w:pPr>
                  <w:r>
                    <w:rPr>
                      <w:rFonts w:ascii="Calibri" w:cs="Calibri" w:eastAsia="Calibri" w:hAnsi="Calibri"/>
                      <w:b/>
                      <w:bCs/>
                      <w:color w:val="8A8B8E"/>
                      <w:sz w:val="24"/>
                      <w:szCs w:val="24"/>
                    </w:rPr>
                    <w:t xml:space="preserve">15</w:t>
                  </w:r>
                </w:p>
              </w:tc>
              <w:tc>
                <w:tcPr>
                  <w:tcW w:type="dxa" w:w="4760"/>
                  <w:tcBorders>
                    <w:top w:val="none" w:color="FFFFFF" w:sz="0"/>
                    <w:left w:val="none" w:color="FFFFFF" w:sz="0"/>
                    <w:bottom w:val="none" w:color="FFFFFF" w:sz="0"/>
                    <w:right w:val="none" w:color="FFFFFF" w:sz="0"/>
                  </w:tcBorders>
                  <w:tcMar>
                    <w:top w:type="dxa" w:w="30"/>
                    <w:left w:type="dxa" w:w="0"/>
                    <w:bottom w:type="dxa" w:w="10"/>
                    <w:right w:type="dxa" w:w="0"/>
                  </w:tcMar>
                  <w:vAlign w:val="top"/>
                </w:tcPr>
                <w:p>
                  <w:pPr>
                    <w:spacing w:after="0" w:before="0" w:line="264" w:lineRule="auto"/>
                  </w:pPr>
                  <w:r>
                    <w:rPr>
                      <w:rFonts w:ascii="Calibri" w:cs="Calibri" w:eastAsia="Calibri" w:hAnsi="Calibri"/>
                      <w:color w:val="1A1818"/>
                      <w:sz w:val="18"/>
                      <w:szCs w:val="18"/>
                    </w:rPr>
                    <w:t xml:space="preserve">have no battery code yet</w:t>
                  </w:r>
                </w:p>
              </w:tc>
            </w:tr>
            <w:tr>
              <w:tc>
                <w:tcPr>
                  <w:tcW w:type="dxa" w:w="560"/>
                  <w:tcBorders>
                    <w:top w:val="none" w:color="FFFFFF" w:sz="0"/>
                    <w:left w:val="none" w:color="FFFFFF" w:sz="0"/>
                    <w:bottom w:val="none" w:color="FFFFFF" w:sz="0"/>
                    <w:right w:val="none" w:color="FFFFFF" w:sz="0"/>
                  </w:tcBorders>
                  <w:tcMar>
                    <w:top w:type="dxa" w:w="10"/>
                    <w:left w:type="dxa" w:w="0"/>
                    <w:bottom w:type="dxa" w:w="10"/>
                    <w:right w:type="dxa" w:w="140"/>
                  </w:tcMar>
                  <w:vAlign w:val="top"/>
                </w:tcPr>
                <w:p>
                  <w:pPr>
                    <w:spacing w:after="0" w:before="0" w:line="264" w:lineRule="auto"/>
                    <w:jc w:val="right"/>
                  </w:pPr>
                  <w:r>
                    <w:rPr>
                      <w:rFonts w:ascii="Calibri" w:cs="Calibri" w:eastAsia="Calibri" w:hAnsi="Calibri"/>
                      <w:b/>
                      <w:bCs/>
                      <w:color w:val="BE1E2D"/>
                      <w:sz w:val="24"/>
                      <w:szCs w:val="24"/>
                    </w:rPr>
                    <w:t xml:space="preserve">5</w:t>
                  </w:r>
                </w:p>
              </w:tc>
              <w:tc>
                <w:tcPr>
                  <w:tcW w:type="dxa" w:w="4760"/>
                  <w:tcBorders>
                    <w:top w:val="none" w:color="FFFFFF" w:sz="0"/>
                    <w:left w:val="none" w:color="FFFFFF" w:sz="0"/>
                    <w:bottom w:val="none" w:color="FFFFFF" w:sz="0"/>
                    <w:right w:val="none" w:color="FFFFFF" w:sz="0"/>
                  </w:tcBorders>
                  <w:tcMar>
                    <w:top w:type="dxa" w:w="30"/>
                    <w:left w:type="dxa" w:w="0"/>
                    <w:bottom w:type="dxa" w:w="10"/>
                    <w:right w:type="dxa" w:w="0"/>
                  </w:tcMar>
                  <w:vAlign w:val="top"/>
                </w:tcPr>
                <w:p>
                  <w:pPr>
                    <w:spacing w:after="0" w:before="0" w:line="264" w:lineRule="auto"/>
                  </w:pPr>
                  <w:r>
                    <w:rPr>
                      <w:rFonts w:ascii="Calibri" w:cs="Calibri" w:eastAsia="Calibri" w:hAnsi="Calibri"/>
                      <w:color w:val="1A1818"/>
                      <w:sz w:val="18"/>
                      <w:szCs w:val="18"/>
                    </w:rPr>
                    <w:t xml:space="preserve">have a moratorium</w:t>
                  </w:r>
                </w:p>
              </w:tc>
            </w:tr>
            <w:tr>
              <w:tc>
                <w:tcPr>
                  <w:tcW w:type="dxa" w:w="560"/>
                  <w:tcBorders>
                    <w:top w:val="none" w:color="FFFFFF" w:sz="0"/>
                    <w:left w:val="none" w:color="FFFFFF" w:sz="0"/>
                    <w:bottom w:val="none" w:color="FFFFFF" w:sz="0"/>
                    <w:right w:val="none" w:color="FFFFFF" w:sz="0"/>
                  </w:tcBorders>
                  <w:tcMar>
                    <w:top w:type="dxa" w:w="10"/>
                    <w:left w:type="dxa" w:w="0"/>
                    <w:bottom w:type="dxa" w:w="10"/>
                    <w:right w:type="dxa" w:w="140"/>
                  </w:tcMar>
                  <w:vAlign w:val="top"/>
                </w:tcPr>
                <w:p>
                  <w:pPr>
                    <w:spacing w:after="0" w:before="0" w:line="264" w:lineRule="auto"/>
                    <w:jc w:val="right"/>
                  </w:pPr>
                  <w:r>
                    <w:rPr>
                      <w:rFonts w:ascii="Calibri" w:cs="Calibri" w:eastAsia="Calibri" w:hAnsi="Calibri"/>
                      <w:b/>
                      <w:bCs/>
                      <w:color w:val="1A1818"/>
                      <w:sz w:val="24"/>
                      <w:szCs w:val="24"/>
                    </w:rPr>
                    <w:t xml:space="preserve">3</w:t>
                  </w:r>
                </w:p>
              </w:tc>
              <w:tc>
                <w:tcPr>
                  <w:tcW w:type="dxa" w:w="4760"/>
                  <w:tcBorders>
                    <w:top w:val="none" w:color="FFFFFF" w:sz="0"/>
                    <w:left w:val="none" w:color="FFFFFF" w:sz="0"/>
                    <w:bottom w:val="none" w:color="FFFFFF" w:sz="0"/>
                    <w:right w:val="none" w:color="FFFFFF" w:sz="0"/>
                  </w:tcBorders>
                  <w:tcMar>
                    <w:top w:type="dxa" w:w="30"/>
                    <w:left w:type="dxa" w:w="0"/>
                    <w:bottom w:type="dxa" w:w="10"/>
                    <w:right w:type="dxa" w:w="0"/>
                  </w:tcMar>
                  <w:vAlign w:val="top"/>
                </w:tcPr>
                <w:p>
                  <w:pPr>
                    <w:spacing w:after="0" w:before="0" w:line="264" w:lineRule="auto"/>
                  </w:pPr>
                  <w:r>
                    <w:rPr>
                      <w:rFonts w:ascii="Calibri" w:cs="Calibri" w:eastAsia="Calibri" w:hAnsi="Calibri"/>
                      <w:color w:val="1A1818"/>
                      <w:sz w:val="18"/>
                      <w:szCs w:val="18"/>
                    </w:rPr>
                    <w:t xml:space="preserve">ban it</w:t>
                  </w:r>
                </w:p>
              </w:tc>
            </w:tr>
          </w:tbl>
          <w:p>
            <w:pPr>
              <w:spacing w:after="110" w:before="40" w:line="264" w:lineRule="auto"/>
            </w:pPr>
            <w:r>
              <w:rPr>
                <w:rFonts w:ascii="Calibri" w:cs="Calibri" w:eastAsia="Calibri" w:hAnsi="Calibri"/>
                <w:color w:val="54565A"/>
                <w:sz w:val="16"/>
                <w:szCs w:val="16"/>
              </w:rPr>
              <w:t xml:space="preserve">From the CEAC Live Policy Tracker, last updated September 22, 2026. Look up any town's rules, contacts and next meeting online.</w:t>
            </w:r>
          </w:p>
          <w:p>
            <w:pPr>
              <w:keepNext/>
              <w:pBdr>
                <w:bottom w:val="single" w:color="E2E1E7" w:sz="12" w:space="2"/>
              </w:pBdr>
              <w:spacing w:after="50" w:before="220" w:line="264" w:lineRule="auto"/>
            </w:pPr>
            <w:r>
              <w:rPr>
                <w:rFonts w:ascii="Calibri" w:cs="Calibri" w:eastAsia="Calibri" w:hAnsi="Calibri"/>
                <w:b/>
                <w:bCs/>
                <w:color w:val="BE1E2D"/>
                <w:spacing w:val="20"/>
                <w:sz w:val="17"/>
                <w:szCs w:val="17"/>
              </w:rPr>
              <w:t xml:space="preserve">CLEANER AIR, FROM START TO FINISH</w:t>
            </w:r>
          </w:p>
          <w:p>
            <w:pPr>
              <w:spacing w:after="110" w:before="0" w:line="264" w:lineRule="auto"/>
            </w:pPr>
            <w:r>
              <w:rPr>
                <w:rFonts w:ascii="Calibri" w:cs="Calibri" w:eastAsia="Calibri" w:hAnsi="Calibri"/>
                <w:color w:val="1A1818"/>
                <w:sz w:val="21"/>
                <w:szCs w:val="21"/>
              </w:rPr>
              <w:t xml:space="preserve">Batteries take the place of gas peaker plants that run on the hottest days, often in dense neighborhoods. In New York City, peakers produce up to 94% of the city's nitrogen oxide emissions on the worst smog days, and 750,000 New Yorkers live within a mile of one. A battery burns nothing on site.</w:t>
            </w:r>
          </w:p>
          <w:p>
            <w:pPr>
              <w:spacing w:after="110" w:before="0" w:line="264" w:lineRule="auto"/>
            </w:pPr>
            <w:r>
              <w:rPr>
                <w:rFonts w:ascii="Calibri" w:cs="Calibri" w:eastAsia="Calibri" w:hAnsi="Calibri"/>
                <w:color w:val="1A1818"/>
                <w:sz w:val="21"/>
                <w:szCs w:val="21"/>
              </w:rPr>
              <w:t xml:space="preserve">New York's model law asks owners to keep a bond for the life of the site, so removal and restoration are paid for before construction starts.</w:t>
            </w:r>
          </w:p>
          <w:p>
            <w:pPr>
              <w:keepNext/>
              <w:pBdr>
                <w:bottom w:val="single" w:color="E2E1E7" w:sz="12" w:space="2"/>
              </w:pBdr>
              <w:spacing w:after="50" w:before="220" w:line="264" w:lineRule="auto"/>
            </w:pPr>
            <w:r>
              <w:rPr>
                <w:rFonts w:ascii="Calibri" w:cs="Calibri" w:eastAsia="Calibri" w:hAnsi="Calibri"/>
                <w:b/>
                <w:bCs/>
                <w:color w:val="3E7D57"/>
                <w:spacing w:val="20"/>
                <w:sz w:val="17"/>
                <w:szCs w:val="17"/>
              </w:rPr>
              <w:t xml:space="preserve">SEE IT FOR YOURSELF</w:t>
            </w:r>
          </w:p>
          <w:tbl>
            <w:tblPr>
              <w:tblW w:type="dxa" w:w="532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3820"/>
            </w:tblGrid>
            <w:tr>
              <w:tc>
                <w:tcPr>
                  <w:tcW w:type="dxa" w:w="1500"/>
                  <w:tcBorders>
                    <w:top w:val="none" w:color="FFFFFF" w:sz="0"/>
                    <w:left w:val="none" w:color="FFFFFF" w:sz="0"/>
                    <w:bottom w:val="none" w:color="FFFFFF" w:sz="0"/>
                    <w:right w:val="none" w:color="FFFFFF" w:sz="0"/>
                  </w:tcBorders>
                  <w:tcMar>
                    <w:top w:type="dxa" w:w="40"/>
                    <w:left w:type="dxa" w:w="0"/>
                    <w:bottom w:type="dxa" w:w="60"/>
                    <w:right w:type="dxa" w:w="0"/>
                  </w:tcMar>
                  <w:vAlign w:val="top"/>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 cy="914400"/>
                                </a:xfrm>
                                <a:prstGeom prst="rect">
                                  <a:avLst/>
                                </a:prstGeom>
                              </pic:spPr>
                            </pic:pic>
                          </a:graphicData>
                        </a:graphic>
                      </wp:inline>
                    </w:drawing>
                  </w:r>
                </w:p>
              </w:tc>
              <w:tc>
                <w:tcPr>
                  <w:tcW w:type="dxa" w:w="3820"/>
                  <w:tcBorders>
                    <w:top w:val="none" w:color="FFFFFF" w:sz="0"/>
                    <w:left w:val="none" w:color="FFFFFF" w:sz="0"/>
                    <w:bottom w:val="none" w:color="FFFFFF" w:sz="0"/>
                    <w:right w:val="none" w:color="FFFFFF" w:sz="0"/>
                  </w:tcBorders>
                  <w:tcMar>
                    <w:top w:type="dxa" w:w="40"/>
                    <w:left w:type="dxa" w:w="0"/>
                    <w:bottom w:type="dxa" w:w="60"/>
                    <w:right w:type="dxa" w:w="0"/>
                  </w:tcMar>
                  <w:vAlign w:val="top"/>
                </w:tcPr>
                <w:p>
                  <w:pPr>
                    <w:spacing w:after="20" w:before="0" w:line="264" w:lineRule="auto"/>
                  </w:pPr>
                  <w:r>
                    <w:rPr>
                      <w:rFonts w:ascii="Calibri" w:cs="Calibri" w:eastAsia="Calibri" w:hAnsi="Calibri"/>
                      <w:b/>
                      <w:bCs/>
                      <w:color w:val="1A1818"/>
                      <w:sz w:val="18"/>
                      <w:szCs w:val="18"/>
                    </w:rPr>
                    <w:t xml:space="preserve">Scan for the full dashboard</w:t>
                  </w:r>
                </w:p>
                <w:p>
                  <w:pPr>
                    <w:spacing w:after="30" w:before="0" w:line="264" w:lineRule="auto"/>
                  </w:pPr>
                  <w:hyperlink w:history="1" r:id="rIdvm69gp899cjqgpwdbf06m">
                    <w:r>
                      <w:rPr>
                        <w:rFonts w:ascii="Calibri" w:cs="Calibri" w:eastAsia="Calibri" w:hAnsi="Calibri"/>
                        <w:color w:val="BE1E2D"/>
                        <w:sz w:val="16"/>
                        <w:szCs w:val="16"/>
                      </w:rPr>
                      <w:t xml:space="preserve">starrysidekick.github.io/CEAC-Dashboard</w:t>
                    </w:r>
                  </w:hyperlink>
                </w:p>
                <w:p>
                  <w:pPr>
                    <w:spacing w:after="0" w:before="0" w:line="230" w:lineRule="auto"/>
                  </w:pPr>
                  <w:r>
                    <w:rPr>
                      <w:rFonts w:ascii="Calibri" w:cs="Calibri" w:eastAsia="Calibri" w:hAnsi="Calibri"/>
                      <w:color w:val="54565A"/>
                      <w:sz w:val="16"/>
                      <w:szCs w:val="16"/>
                    </w:rPr>
                    <w:t xml:space="preserve">Live Policy Tracker, Successful Projects, Model Law, Key Considerations, Your Electric Bill, Fire &amp; Safety, Size &amp; Setbacks, Risk in Context, Life Cycle and the Resource Center. A countywide Clean Energy Map is coming soon.</w:t>
                  </w:r>
                </w:p>
              </w:tc>
            </w:tr>
          </w:tbl>
          <w:p/>
        </w:tc>
      </w:tr>
    </w:tbl>
    <w:p>
      <w:pPr>
        <w:spacing w:after="0" w:before="120" w:line="220" w:lineRule="auto"/>
      </w:pPr>
      <w:r>
        <w:rPr>
          <w:rFonts w:ascii="Calibri" w:cs="Calibri" w:eastAsia="Calibri" w:hAnsi="Calibri"/>
          <w:color w:val="54565A"/>
          <w:sz w:val="14"/>
          <w:szCs w:val="14"/>
        </w:rPr>
        <w:t xml:space="preserve">Clean Energy Action Coalition, The Business Council of Westchester, with EarthKind Energy. Every figure above is sourced on the matching dashboard page (EPRI, U.S. EIA, PHMSA, NYS Department of State, NYSERDA, EPA eGRID 2023, NREL, IEA).</w:t>
      </w:r>
    </w:p>
    <w:p>
      <w:pPr>
        <w:sectPr>
          <w:pgSz w:w="12240" w:h="15840" w:orient="portrait"/>
          <w:pgMar w:top="620" w:right="620" w:bottom="540" w:left="620" w:header="708" w:footer="708" w:gutter="0"/>
          <w:pgNumType/>
          <w:docGrid w:linePitch="360"/>
        </w:sectPr>
      </w:pPr>
    </w:p>
    <w:tbl>
      <w:tblPr>
        <w:tblW w:type="dxa" w:w="11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0"/>
      </w:tblGrid>
      <w:tr>
        <w:tc>
          <w:tcPr>
            <w:tcW w:type="dxa" w:w="11000"/>
            <w:tcBorders>
              <w:top w:val="none" w:color="FFFFFF" w:sz="0"/>
              <w:left w:val="none" w:color="FFFFFF" w:sz="0"/>
              <w:bottom w:val="none" w:color="FFFFFF" w:sz="0"/>
              <w:right w:val="none" w:color="FFFFFF" w:sz="0"/>
            </w:tcBorders>
            <w:shd w:fill="54565A" w:color="auto" w:val="clear"/>
            <w:tcMar>
              <w:top w:type="dxa" w:w="150"/>
              <w:left w:type="dxa" w:w="260"/>
              <w:bottom w:type="dxa" w:w="150"/>
              <w:right w:type="dxa" w:w="260"/>
            </w:tcMar>
            <w:vAlign w:val="top"/>
          </w:tcPr>
          <w:p>
            <w:pPr>
              <w:spacing w:after="30" w:before="0" w:line="264" w:lineRule="auto"/>
            </w:pPr>
            <w:r>
              <w:rPr>
                <w:rFonts w:ascii="Calibri" w:cs="Calibri" w:eastAsia="Calibri" w:hAnsi="Calibri"/>
                <w:b/>
                <w:bCs/>
                <w:color w:val="E2E1E7"/>
                <w:spacing w:val="20"/>
                <w:sz w:val="16"/>
                <w:szCs w:val="16"/>
              </w:rPr>
              <w:t xml:space="preserve">BESS RESOURCE GUIDE</w:t>
            </w:r>
          </w:p>
          <w:p>
            <w:pPr>
              <w:spacing w:after="40" w:before="0" w:line="240" w:lineRule="auto"/>
            </w:pPr>
            <w:r>
              <w:rPr>
                <w:rFonts w:ascii="Calibri" w:cs="Calibri" w:eastAsia="Calibri" w:hAnsi="Calibri"/>
                <w:b/>
                <w:bCs/>
                <w:color w:val="FFFFFF"/>
                <w:sz w:val="30"/>
                <w:szCs w:val="30"/>
              </w:rPr>
              <w:t xml:space="preserve">Where to go next: trusted sources for boards, staff and responders</w:t>
            </w:r>
          </w:p>
          <w:p>
            <w:pPr>
              <w:spacing w:after="0" w:before="0" w:line="264" w:lineRule="auto"/>
            </w:pPr>
            <w:r>
              <w:rPr>
                <w:rFonts w:ascii="Calibri" w:cs="Calibri" w:eastAsia="Calibri" w:hAnsi="Calibri"/>
                <w:color w:val="E2E1E7"/>
                <w:sz w:val="17"/>
                <w:szCs w:val="17"/>
              </w:rPr>
              <w:t xml:space="preserve">Every item comes from a government agency, a university, a federally funded national laboratory or an independent research organization. Starred items are the best place to start.</w:t>
            </w:r>
          </w:p>
        </w:tc>
      </w:tr>
    </w:tbl>
    <w:tbl>
      <w:tblPr>
        <w:tblW w:type="dxa" w:w="11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0"/>
        <w:gridCol w:w="360"/>
        <w:gridCol w:w="5320"/>
      </w:tblGrid>
      <w:tr>
        <w:tc>
          <w:tcPr>
            <w:tcW w:type="dxa" w:w="53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keepNext/>
              <w:pBdr>
                <w:bottom w:val="single" w:color="E2E1E7" w:sz="12" w:space="2"/>
              </w:pBdr>
              <w:spacing w:after="50" w:before="100" w:line="264" w:lineRule="auto"/>
            </w:pPr>
            <w:r>
              <w:rPr>
                <w:rFonts w:ascii="Calibri" w:cs="Calibri" w:eastAsia="Calibri" w:hAnsi="Calibri"/>
                <w:b/>
                <w:bCs/>
                <w:color w:val="BE1E2D"/>
                <w:spacing w:val="20"/>
                <w:sz w:val="17"/>
                <w:szCs w:val="17"/>
              </w:rPr>
              <w:t xml:space="preserve">START WITH THE BASICS</w:t>
            </w:r>
          </w:p>
          <w:p>
            <w:pPr>
              <w:spacing w:after="70" w:before="0" w:line="264" w:lineRule="auto"/>
            </w:pPr>
            <w:r>
              <w:rPr>
                <w:rFonts w:ascii="Calibri" w:cs="Calibri" w:eastAsia="Calibri" w:hAnsi="Calibri"/>
                <w:i/>
                <w:iCs/>
                <w:color w:val="54565A"/>
                <w:sz w:val="18"/>
                <w:szCs w:val="18"/>
              </w:rPr>
              <w:t xml:space="preserve">General education for residents and officials</w:t>
            </w:r>
          </w:p>
          <w:p>
            <w:pPr>
              <w:spacing w:after="120" w:before="0" w:line="252" w:lineRule="auto"/>
            </w:pPr>
            <w:r>
              <w:rPr>
                <w:rFonts w:ascii="Calibri" w:cs="Calibri" w:eastAsia="Calibri" w:hAnsi="Calibri"/>
                <w:color w:val="BE1E2D"/>
                <w:sz w:val="17"/>
                <w:szCs w:val="17"/>
              </w:rPr>
              <w:t xml:space="preserve">★ </w:t>
            </w:r>
            <w:hyperlink w:history="1" r:id="rId_fypeiaw6u31pinkhacfm">
              <w:r>
                <w:rPr>
                  <w:rFonts w:ascii="Calibri" w:cs="Calibri" w:eastAsia="Calibri" w:hAnsi="Calibri"/>
                  <w:b/>
                  <w:bCs/>
                  <w:color w:val="1A1818"/>
                  <w:sz w:val="19"/>
                  <w:szCs w:val="19"/>
                </w:rPr>
                <w:t xml:space="preserve">Battery Energy Storage: What New Yorkers Should Know</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A brief primer on the whys and hows of energy storage, written for residents.</w:t>
            </w:r>
          </w:p>
          <w:p>
            <w:pPr>
              <w:spacing w:after="120" w:before="0" w:line="252" w:lineRule="auto"/>
            </w:pPr>
            <w:hyperlink w:history="1" r:id="rIdrklmwh93ah-ikiyindgwj">
              <w:r>
                <w:rPr>
                  <w:rFonts w:ascii="Calibri" w:cs="Calibri" w:eastAsia="Calibri" w:hAnsi="Calibri"/>
                  <w:b/>
                  <w:bCs/>
                  <w:color w:val="1A1818"/>
                  <w:sz w:val="19"/>
                  <w:szCs w:val="19"/>
                </w:rPr>
                <w:t xml:space="preserve">Battery Energy Storage: Information for You and Your Constituents</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The same primer, pitched at local officials fielding constituent questions.</w:t>
            </w:r>
          </w:p>
          <w:p>
            <w:pPr>
              <w:keepNext/>
              <w:pBdr>
                <w:bottom w:val="single" w:color="E2E1E7" w:sz="12" w:space="2"/>
              </w:pBdr>
              <w:spacing w:after="50" w:before="100" w:line="264" w:lineRule="auto"/>
            </w:pPr>
            <w:r>
              <w:rPr>
                <w:rFonts w:ascii="Calibri" w:cs="Calibri" w:eastAsia="Calibri" w:hAnsi="Calibri"/>
                <w:b/>
                <w:bCs/>
                <w:color w:val="BE1E2D"/>
                <w:spacing w:val="20"/>
                <w:sz w:val="17"/>
                <w:szCs w:val="17"/>
              </w:rPr>
              <w:t xml:space="preserve">PERMITTING AND ZONING</w:t>
            </w:r>
          </w:p>
          <w:p>
            <w:pPr>
              <w:spacing w:after="70" w:before="0" w:line="264" w:lineRule="auto"/>
            </w:pPr>
            <w:r>
              <w:rPr>
                <w:rFonts w:ascii="Calibri" w:cs="Calibri" w:eastAsia="Calibri" w:hAnsi="Calibri"/>
                <w:i/>
                <w:iCs/>
                <w:color w:val="54565A"/>
                <w:sz w:val="18"/>
                <w:szCs w:val="18"/>
              </w:rPr>
              <w:t xml:space="preserve">If you are writing or updating a local law</w:t>
            </w:r>
          </w:p>
          <w:p>
            <w:pPr>
              <w:spacing w:after="120" w:before="0" w:line="252" w:lineRule="auto"/>
            </w:pPr>
            <w:r>
              <w:rPr>
                <w:rFonts w:ascii="Calibri" w:cs="Calibri" w:eastAsia="Calibri" w:hAnsi="Calibri"/>
                <w:color w:val="BE1E2D"/>
                <w:sz w:val="17"/>
                <w:szCs w:val="17"/>
              </w:rPr>
              <w:t xml:space="preserve">★ </w:t>
            </w:r>
            <w:hyperlink w:history="1" r:id="rIdv3jm90m6fnhd5jg2xvssh">
              <w:r>
                <w:rPr>
                  <w:rFonts w:ascii="Calibri" w:cs="Calibri" w:eastAsia="Calibri" w:hAnsi="Calibri"/>
                  <w:b/>
                  <w:bCs/>
                  <w:color w:val="1A1818"/>
                  <w:sz w:val="19"/>
                  <w:szCs w:val="19"/>
                </w:rPr>
                <w:t xml:space="preserve">NYS Battery Energy Storage System Guidebook for Local Governments</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The core toolkit: permitting steps, SEQR, setbacks and decommissioning, updated February 2026.</w:t>
            </w:r>
          </w:p>
          <w:p>
            <w:pPr>
              <w:spacing w:after="120" w:before="0" w:line="252" w:lineRule="auto"/>
            </w:pPr>
            <w:hyperlink w:history="1" r:id="rIdwaymubkbbdqh1qn40qgoz">
              <w:r>
                <w:rPr>
                  <w:rFonts w:ascii="Calibri" w:cs="Calibri" w:eastAsia="Calibri" w:hAnsi="Calibri"/>
                  <w:b/>
                  <w:bCs/>
                  <w:color w:val="1A1818"/>
                  <w:sz w:val="19"/>
                  <w:szCs w:val="19"/>
                </w:rPr>
                <w:t xml:space="preserve">Battery Energy Storage System Model Law</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Adaptable zoning text for Tier 1 and Tier 2 systems.</w:t>
            </w:r>
          </w:p>
          <w:p>
            <w:pPr>
              <w:spacing w:after="120" w:before="0" w:line="252" w:lineRule="auto"/>
            </w:pPr>
            <w:hyperlink w:history="1" r:id="rIdibwqvapomxudqtc6t-2wi">
              <w:r>
                <w:rPr>
                  <w:rFonts w:ascii="Calibri" w:cs="Calibri" w:eastAsia="Calibri" w:hAnsi="Calibri"/>
                  <w:b/>
                  <w:bCs/>
                  <w:color w:val="1A1818"/>
                  <w:sz w:val="19"/>
                  <w:szCs w:val="19"/>
                </w:rPr>
                <w:t xml:space="preserve">Battery Energy Storage System Model Permit</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A fill-in permit application and checklist a building department can adopt as is.</w:t>
            </w:r>
          </w:p>
          <w:p>
            <w:pPr>
              <w:spacing w:after="120" w:before="0" w:line="252" w:lineRule="auto"/>
            </w:pPr>
            <w:hyperlink w:history="1" r:id="rId-qgdxvorwxdhbctmvafkr">
              <w:r>
                <w:rPr>
                  <w:rFonts w:ascii="Calibri" w:cs="Calibri" w:eastAsia="Calibri" w:hAnsi="Calibri"/>
                  <w:b/>
                  <w:bCs/>
                  <w:color w:val="1A1818"/>
                  <w:sz w:val="19"/>
                  <w:szCs w:val="19"/>
                </w:rPr>
                <w:t xml:space="preserve">Battery Energy Storage System FAQ</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Fifty plus plain-language answers, built for public hearings.</w:t>
            </w:r>
          </w:p>
          <w:p>
            <w:pPr>
              <w:spacing w:after="120" w:before="0" w:line="252" w:lineRule="auto"/>
            </w:pPr>
            <w:hyperlink w:history="1" r:id="rId-xawpholbizmkwevob7yn">
              <w:r>
                <w:rPr>
                  <w:rFonts w:ascii="Calibri" w:cs="Calibri" w:eastAsia="Calibri" w:hAnsi="Calibri"/>
                  <w:b/>
                  <w:bCs/>
                  <w:color w:val="1A1818"/>
                  <w:sz w:val="19"/>
                  <w:szCs w:val="19"/>
                </w:rPr>
                <w:t xml:space="preserve">Principles and Options for Designing BESS Zoning Ordinances</w:t>
              </w:r>
            </w:hyperlink>
            <w:r>
              <w:rPr>
                <w:rFonts w:ascii="Calibri" w:cs="Calibri" w:eastAsia="Calibri" w:hAnsi="Calibri"/>
                <w:color w:val="BE1E2D"/>
                <w:sz w:val="18"/>
                <w:szCs w:val="18"/>
              </w:rPr>
              <w:t xml:space="preserve">, Pacific Northwest National Laboratory. </w:t>
            </w:r>
            <w:r>
              <w:rPr>
                <w:rFonts w:ascii="Calibri" w:cs="Calibri" w:eastAsia="Calibri" w:hAnsi="Calibri"/>
                <w:color w:val="54565A"/>
                <w:sz w:val="18"/>
                <w:szCs w:val="18"/>
              </w:rPr>
              <w:t xml:space="preserve">A 2026 national survey of how towns have written their battery rules.</w:t>
            </w:r>
          </w:p>
          <w:p>
            <w:pPr>
              <w:spacing w:after="120" w:before="0" w:line="252" w:lineRule="auto"/>
            </w:pPr>
            <w:hyperlink w:history="1" r:id="rIdColumbiaMap">
              <w:r>
                <w:rPr>
                  <w:rFonts w:ascii="Calibri" w:cs="Calibri" w:eastAsia="Calibri" w:hAnsi="Calibri"/>
                  <w:b/>
                  <w:bCs/>
                  <w:color w:val="1A1818"/>
                  <w:sz w:val="19"/>
                  <w:szCs w:val="19"/>
                </w:rPr>
                <w:t xml:space="preserve">Solar and BESS Potential Sites Map</w:t>
              </w:r>
            </w:hyperlink>
            <w:r>
              <w:rPr>
                <w:rFonts w:ascii="Calibri" w:cs="Calibri" w:eastAsia="Calibri" w:hAnsi="Calibri"/>
                <w:color w:val="BE1E2D"/>
                <w:sz w:val="18"/>
                <w:szCs w:val="18"/>
              </w:rPr>
              <w:t xml:space="preserve">, Columbia University students, shared by Sustainable Westchester. </w:t>
            </w:r>
            <w:r>
              <w:rPr>
                <w:rFonts w:ascii="Calibri" w:cs="Calibri" w:eastAsia="Calibri" w:hAnsi="Calibri"/>
                <w:color w:val="54565A"/>
                <w:sz w:val="18"/>
                <w:szCs w:val="18"/>
              </w:rPr>
              <w:t xml:space="preserve">An interactive 2025 map of where solar and battery projects could fit across Westchester.</w:t>
            </w:r>
          </w:p>
          <w:p>
            <w:pPr>
              <w:keepNext/>
              <w:pBdr>
                <w:bottom w:val="single" w:color="E2E1E7" w:sz="12" w:space="2"/>
              </w:pBdr>
              <w:spacing w:after="50" w:before="100" w:line="264" w:lineRule="auto"/>
            </w:pPr>
            <w:r>
              <w:rPr>
                <w:rFonts w:ascii="Calibri" w:cs="Calibri" w:eastAsia="Calibri" w:hAnsi="Calibri"/>
                <w:b/>
                <w:bCs/>
                <w:color w:val="BE1E2D"/>
                <w:spacing w:val="20"/>
                <w:sz w:val="17"/>
                <w:szCs w:val="17"/>
              </w:rPr>
              <w:t xml:space="preserve">WESTCHESTER COUNTY REQUIREMENTS</w:t>
            </w:r>
          </w:p>
          <w:p>
            <w:pPr>
              <w:spacing w:after="70" w:before="0" w:line="264" w:lineRule="auto"/>
            </w:pPr>
            <w:r>
              <w:rPr>
                <w:rFonts w:ascii="Calibri" w:cs="Calibri" w:eastAsia="Calibri" w:hAnsi="Calibri"/>
                <w:i/>
                <w:iCs/>
                <w:color w:val="54565A"/>
                <w:sz w:val="18"/>
                <w:szCs w:val="18"/>
              </w:rPr>
              <w:t xml:space="preserve">What is required here</w:t>
            </w:r>
          </w:p>
          <w:p>
            <w:pPr>
              <w:spacing w:after="120" w:before="0" w:line="252" w:lineRule="auto"/>
            </w:pPr>
            <w:r>
              <w:rPr>
                <w:rFonts w:ascii="Calibri" w:cs="Calibri" w:eastAsia="Calibri" w:hAnsi="Calibri"/>
                <w:color w:val="BE1E2D"/>
                <w:sz w:val="17"/>
                <w:szCs w:val="17"/>
              </w:rPr>
              <w:t xml:space="preserve">★ </w:t>
            </w:r>
            <w:hyperlink w:history="1" r:id="rIdk4q_kamqc5oilhcw_yenq">
              <w:r>
                <w:rPr>
                  <w:rFonts w:ascii="Calibri" w:cs="Calibri" w:eastAsia="Calibri" w:hAnsi="Calibri"/>
                  <w:b/>
                  <w:bCs/>
                  <w:color w:val="1A1818"/>
                  <w:sz w:val="19"/>
                  <w:szCs w:val="19"/>
                </w:rPr>
                <w:t xml:space="preserve">Lithium-Ion Battery Safety and the BESS Notification Program</w:t>
              </w:r>
            </w:hyperlink>
            <w:r>
              <w:rPr>
                <w:rFonts w:ascii="Calibri" w:cs="Calibri" w:eastAsia="Calibri" w:hAnsi="Calibri"/>
                <w:color w:val="BE1E2D"/>
                <w:sz w:val="18"/>
                <w:szCs w:val="18"/>
              </w:rPr>
              <w:t xml:space="preserve">, Westchester County Dept. of Emergency Services. </w:t>
            </w:r>
            <w:r>
              <w:rPr>
                <w:rFonts w:ascii="Calibri" w:cs="Calibri" w:eastAsia="Calibri" w:hAnsi="Calibri"/>
                <w:color w:val="54565A"/>
                <w:sz w:val="18"/>
                <w:szCs w:val="18"/>
              </w:rPr>
              <w:t xml:space="preserve">How a municipality complies with the County's 2025 notification law.</w:t>
            </w:r>
          </w:p>
          <w:p>
            <w:pPr>
              <w:spacing w:after="120" w:before="0" w:line="252" w:lineRule="auto"/>
            </w:pPr>
            <w:hyperlink w:history="1" r:id="rIddytw_4pnqs-mu7uwwjcfj">
              <w:r>
                <w:rPr>
                  <w:rFonts w:ascii="Calibri" w:cs="Calibri" w:eastAsia="Calibri" w:hAnsi="Calibri"/>
                  <w:b/>
                  <w:bCs/>
                  <w:color w:val="1A1818"/>
                  <w:sz w:val="19"/>
                  <w:szCs w:val="19"/>
                </w:rPr>
                <w:t xml:space="preserve">BESS Notification Form</w:t>
              </w:r>
            </w:hyperlink>
            <w:r>
              <w:rPr>
                <w:rFonts w:ascii="Calibri" w:cs="Calibri" w:eastAsia="Calibri" w:hAnsi="Calibri"/>
                <w:color w:val="BE1E2D"/>
                <w:sz w:val="18"/>
                <w:szCs w:val="18"/>
              </w:rPr>
              <w:t xml:space="preserve">, Westchester County Dept. of Emergency Services. </w:t>
            </w:r>
            <w:r>
              <w:rPr>
                <w:rFonts w:ascii="Calibri" w:cs="Calibri" w:eastAsia="Calibri" w:hAnsi="Calibri"/>
                <w:color w:val="54565A"/>
                <w:sz w:val="18"/>
                <w:szCs w:val="18"/>
              </w:rPr>
              <w:t xml:space="preserve">The form municipalities submit under the law.</w:t>
            </w:r>
          </w:p>
          <w:p>
            <w:pPr>
              <w:spacing w:after="120" w:before="0" w:line="252" w:lineRule="auto"/>
            </w:pPr>
            <w:hyperlink w:history="1" r:id="rIdpmkbhta6jvf4lorianiwp">
              <w:r>
                <w:rPr>
                  <w:rFonts w:ascii="Calibri" w:cs="Calibri" w:eastAsia="Calibri" w:hAnsi="Calibri"/>
                  <w:b/>
                  <w:bCs/>
                  <w:color w:val="1A1818"/>
                  <w:sz w:val="19"/>
                  <w:szCs w:val="19"/>
                </w:rPr>
                <w:t xml:space="preserve">Westchester County Code, Chapter 637, Section 637.03</w:t>
              </w:r>
            </w:hyperlink>
            <w:r>
              <w:rPr>
                <w:rFonts w:ascii="Calibri" w:cs="Calibri" w:eastAsia="Calibri" w:hAnsi="Calibri"/>
                <w:color w:val="BE1E2D"/>
                <w:sz w:val="18"/>
                <w:szCs w:val="18"/>
              </w:rPr>
              <w:t xml:space="preserve">, Westchester County. </w:t>
            </w:r>
            <w:r>
              <w:rPr>
                <w:rFonts w:ascii="Calibri" w:cs="Calibri" w:eastAsia="Calibri" w:hAnsi="Calibri"/>
                <w:color w:val="54565A"/>
                <w:sz w:val="18"/>
                <w:szCs w:val="18"/>
              </w:rPr>
              <w:t xml:space="preserve">The statutory text of the notification requirement.</w:t>
            </w:r>
          </w:p>
        </w:tc>
        <w:tc>
          <w:tcPr>
            <w:tcW w:type="dxa" w:w="36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spacing w:after="0" w:before="0" w:line="264" w:lineRule="auto"/>
            </w:pPr>
            <w:r>
              <w:rPr>
                <w:rFonts w:ascii="Calibri" w:cs="Calibri" w:eastAsia="Calibri" w:hAnsi="Calibri"/>
                <w:color w:val="1A1818"/>
                <w:sz w:val="21"/>
                <w:szCs w:val="21"/>
              </w:rPr>
              <w:t xml:space="preserve"/>
            </w:r>
          </w:p>
        </w:tc>
        <w:tc>
          <w:tcPr>
            <w:tcW w:type="dxa" w:w="5320"/>
            <w:tcBorders>
              <w:top w:val="none" w:color="FFFFFF" w:sz="0"/>
              <w:left w:val="none" w:color="FFFFFF" w:sz="0"/>
              <w:bottom w:val="none" w:color="FFFFFF" w:sz="0"/>
              <w:right w:val="none" w:color="FFFFFF" w:sz="0"/>
            </w:tcBorders>
            <w:tcMar>
              <w:top w:type="dxa" w:w="60"/>
              <w:left w:type="dxa" w:w="0"/>
              <w:bottom w:type="dxa" w:w="60"/>
              <w:right w:type="dxa" w:w="0"/>
            </w:tcMar>
            <w:vAlign w:val="top"/>
          </w:tcPr>
          <w:p>
            <w:pPr>
              <w:keepNext/>
              <w:pBdr>
                <w:bottom w:val="single" w:color="E2E1E7" w:sz="12" w:space="2"/>
              </w:pBdr>
              <w:spacing w:after="50" w:before="100" w:line="264" w:lineRule="auto"/>
            </w:pPr>
            <w:r>
              <w:rPr>
                <w:rFonts w:ascii="Calibri" w:cs="Calibri" w:eastAsia="Calibri" w:hAnsi="Calibri"/>
                <w:b/>
                <w:bCs/>
                <w:color w:val="BE1E2D"/>
                <w:spacing w:val="20"/>
                <w:sz w:val="17"/>
                <w:szCs w:val="17"/>
              </w:rPr>
              <w:t xml:space="preserve">SAFETY, CODE AND RESPONSE</w:t>
            </w:r>
          </w:p>
          <w:p>
            <w:pPr>
              <w:spacing w:after="70" w:before="0" w:line="264" w:lineRule="auto"/>
            </w:pPr>
            <w:r>
              <w:rPr>
                <w:rFonts w:ascii="Calibri" w:cs="Calibri" w:eastAsia="Calibri" w:hAnsi="Calibri"/>
                <w:i/>
                <w:iCs/>
                <w:color w:val="54565A"/>
                <w:sz w:val="18"/>
                <w:szCs w:val="18"/>
              </w:rPr>
              <w:t xml:space="preserve">For code enforcement, fire officials and responders</w:t>
            </w:r>
          </w:p>
          <w:p>
            <w:pPr>
              <w:spacing w:after="120" w:before="0" w:line="252" w:lineRule="auto"/>
            </w:pPr>
            <w:r>
              <w:rPr>
                <w:rFonts w:ascii="Calibri" w:cs="Calibri" w:eastAsia="Calibri" w:hAnsi="Calibri"/>
                <w:color w:val="BE1E2D"/>
                <w:sz w:val="17"/>
                <w:szCs w:val="17"/>
              </w:rPr>
              <w:t xml:space="preserve">★ </w:t>
            </w:r>
            <w:hyperlink w:history="1" r:id="rId3nr59altqrxfm5tbdgif1">
              <w:r>
                <w:rPr>
                  <w:rFonts w:ascii="Calibri" w:cs="Calibri" w:eastAsia="Calibri" w:hAnsi="Calibri"/>
                  <w:b/>
                  <w:bCs/>
                  <w:color w:val="1A1818"/>
                  <w:sz w:val="19"/>
                  <w:szCs w:val="19"/>
                </w:rPr>
                <w:t xml:space="preserve">BESS Fire Service Response Guide</w:t>
              </w:r>
            </w:hyperlink>
            <w:r>
              <w:rPr>
                <w:rFonts w:ascii="Calibri" w:cs="Calibri" w:eastAsia="Calibri" w:hAnsi="Calibri"/>
                <w:color w:val="BE1E2D"/>
                <w:sz w:val="18"/>
                <w:szCs w:val="18"/>
              </w:rPr>
              <w:t xml:space="preserve">, NYS DHSES, Office of Fire Prevention and Control. </w:t>
            </w:r>
            <w:r>
              <w:rPr>
                <w:rFonts w:ascii="Calibri" w:cs="Calibri" w:eastAsia="Calibri" w:hAnsi="Calibri"/>
                <w:color w:val="54565A"/>
                <w:sz w:val="18"/>
                <w:szCs w:val="18"/>
              </w:rPr>
              <w:t xml:space="preserve">A one-page tactical field guide for responding crews.</w:t>
            </w:r>
          </w:p>
          <w:p>
            <w:pPr>
              <w:spacing w:after="120" w:before="0" w:line="252" w:lineRule="auto"/>
            </w:pPr>
            <w:hyperlink w:history="1" r:id="rIdkaota489gkv4yjpoyr1eq">
              <w:r>
                <w:rPr>
                  <w:rFonts w:ascii="Calibri" w:cs="Calibri" w:eastAsia="Calibri" w:hAnsi="Calibri"/>
                  <w:b/>
                  <w:bCs/>
                  <w:color w:val="1A1818"/>
                  <w:sz w:val="19"/>
                  <w:szCs w:val="19"/>
                </w:rPr>
                <w:t xml:space="preserve">Battery Emergencies and Electrical Storage Systems training</w:t>
              </w:r>
            </w:hyperlink>
            <w:r>
              <w:rPr>
                <w:rFonts w:ascii="Calibri" w:cs="Calibri" w:eastAsia="Calibri" w:hAnsi="Calibri"/>
                <w:color w:val="BE1E2D"/>
                <w:sz w:val="18"/>
                <w:szCs w:val="18"/>
              </w:rPr>
              <w:t xml:space="preserve">, NYS DHSES. </w:t>
            </w:r>
            <w:r>
              <w:rPr>
                <w:rFonts w:ascii="Calibri" w:cs="Calibri" w:eastAsia="Calibri" w:hAnsi="Calibri"/>
                <w:color w:val="54565A"/>
                <w:sz w:val="18"/>
                <w:szCs w:val="18"/>
              </w:rPr>
              <w:t xml:space="preserve">Free state training for first responders, which can be hosted at your own department.</w:t>
            </w:r>
          </w:p>
          <w:p>
            <w:pPr>
              <w:spacing w:after="120" w:before="0" w:line="252" w:lineRule="auto"/>
            </w:pPr>
            <w:hyperlink w:history="1" r:id="rIdu204__ts53sbfbtp24zma">
              <w:r>
                <w:rPr>
                  <w:rFonts w:ascii="Calibri" w:cs="Calibri" w:eastAsia="Calibri" w:hAnsi="Calibri"/>
                  <w:b/>
                  <w:bCs/>
                  <w:color w:val="1A1818"/>
                  <w:sz w:val="19"/>
                  <w:szCs w:val="19"/>
                </w:rPr>
                <w:t xml:space="preserve">Energy Storage Trainings for Local Governments</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Upcoming and recorded webinars, including sessions for code officials.</w:t>
            </w:r>
          </w:p>
          <w:p>
            <w:pPr>
              <w:spacing w:after="120" w:before="0" w:line="252" w:lineRule="auto"/>
            </w:pPr>
            <w:hyperlink w:history="1" r:id="rIdx-imqwnbcdn0oa4tto_jf">
              <w:r>
                <w:rPr>
                  <w:rFonts w:ascii="Calibri" w:cs="Calibri" w:eastAsia="Calibri" w:hAnsi="Calibri"/>
                  <w:b/>
                  <w:bCs/>
                  <w:color w:val="1A1818"/>
                  <w:sz w:val="19"/>
                  <w:szCs w:val="19"/>
                </w:rPr>
                <w:t xml:space="preserve">2025 Fire Code of New York State, Section 1207</w:t>
              </w:r>
            </w:hyperlink>
            <w:r>
              <w:rPr>
                <w:rFonts w:ascii="Calibri" w:cs="Calibri" w:eastAsia="Calibri" w:hAnsi="Calibri"/>
                <w:color w:val="BE1E2D"/>
                <w:sz w:val="18"/>
                <w:szCs w:val="18"/>
              </w:rPr>
              <w:t xml:space="preserve">, NYS Department of State. </w:t>
            </w:r>
            <w:r>
              <w:rPr>
                <w:rFonts w:ascii="Calibri" w:cs="Calibri" w:eastAsia="Calibri" w:hAnsi="Calibri"/>
                <w:color w:val="54565A"/>
                <w:sz w:val="18"/>
                <w:szCs w:val="18"/>
              </w:rPr>
              <w:t xml:space="preserve">The enforceable rules, free and in full. In effect since December 31, 2025.</w:t>
            </w:r>
          </w:p>
          <w:p>
            <w:pPr>
              <w:spacing w:after="120" w:before="0" w:line="252" w:lineRule="auto"/>
            </w:pPr>
            <w:hyperlink w:history="1" r:id="rId-nc5udcvenjdek_b2vt1z">
              <w:r>
                <w:rPr>
                  <w:rFonts w:ascii="Calibri" w:cs="Calibri" w:eastAsia="Calibri" w:hAnsi="Calibri"/>
                  <w:b/>
                  <w:bCs/>
                  <w:color w:val="1A1818"/>
                  <w:sz w:val="19"/>
                  <w:szCs w:val="19"/>
                </w:rPr>
                <w:t xml:space="preserve">Guide to Battery Energy Storage System Safety</w:t>
              </w:r>
            </w:hyperlink>
            <w:r>
              <w:rPr>
                <w:rFonts w:ascii="Calibri" w:cs="Calibri" w:eastAsia="Calibri" w:hAnsi="Calibri"/>
                <w:color w:val="BE1E2D"/>
                <w:sz w:val="18"/>
                <w:szCs w:val="18"/>
              </w:rPr>
              <w:t xml:space="preserve">, Electric Power Research Institute. </w:t>
            </w:r>
            <w:r>
              <w:rPr>
                <w:rFonts w:ascii="Calibri" w:cs="Calibri" w:eastAsia="Calibri" w:hAnsi="Calibri"/>
                <w:color w:val="54565A"/>
                <w:sz w:val="18"/>
                <w:szCs w:val="18"/>
              </w:rPr>
              <w:t xml:space="preserve">An introductory guide to fire safety considerations.</w:t>
            </w:r>
          </w:p>
          <w:p>
            <w:pPr>
              <w:keepNext/>
              <w:pBdr>
                <w:bottom w:val="single" w:color="E2E1E7" w:sz="12" w:space="2"/>
              </w:pBdr>
              <w:spacing w:after="50" w:before="100" w:line="264" w:lineRule="auto"/>
            </w:pPr>
            <w:r>
              <w:rPr>
                <w:rFonts w:ascii="Calibri" w:cs="Calibri" w:eastAsia="Calibri" w:hAnsi="Calibri"/>
                <w:b/>
                <w:bCs/>
                <w:color w:val="BE1E2D"/>
                <w:spacing w:val="20"/>
                <w:sz w:val="17"/>
                <w:szCs w:val="17"/>
              </w:rPr>
              <w:t xml:space="preserve">WHAT THE EVIDENCE SHOWS</w:t>
            </w:r>
          </w:p>
          <w:p>
            <w:pPr>
              <w:spacing w:after="70" w:before="0" w:line="264" w:lineRule="auto"/>
            </w:pPr>
            <w:r>
              <w:rPr>
                <w:rFonts w:ascii="Calibri" w:cs="Calibri" w:eastAsia="Calibri" w:hAnsi="Calibri"/>
                <w:i/>
                <w:iCs/>
                <w:color w:val="54565A"/>
                <w:sz w:val="18"/>
                <w:szCs w:val="18"/>
              </w:rPr>
              <w:t xml:space="preserve">When you are asked hard questions</w:t>
            </w:r>
          </w:p>
          <w:p>
            <w:pPr>
              <w:spacing w:after="120" w:before="0" w:line="252" w:lineRule="auto"/>
            </w:pPr>
            <w:r>
              <w:rPr>
                <w:rFonts w:ascii="Calibri" w:cs="Calibri" w:eastAsia="Calibri" w:hAnsi="Calibri"/>
                <w:color w:val="BE1E2D"/>
                <w:sz w:val="17"/>
                <w:szCs w:val="17"/>
              </w:rPr>
              <w:t xml:space="preserve">★ </w:t>
            </w:r>
            <w:hyperlink w:history="1" r:id="rIdlwcsoo7mgbvgqcbmtot5i">
              <w:r>
                <w:rPr>
                  <w:rFonts w:ascii="Calibri" w:cs="Calibri" w:eastAsia="Calibri" w:hAnsi="Calibri"/>
                  <w:b/>
                  <w:bCs/>
                  <w:color w:val="1A1818"/>
                  <w:sz w:val="19"/>
                  <w:szCs w:val="19"/>
                </w:rPr>
                <w:t xml:space="preserve">Air, Soil and Water Data Findings</w:t>
              </w:r>
            </w:hyperlink>
            <w:r>
              <w:rPr>
                <w:rFonts w:ascii="Calibri" w:cs="Calibri" w:eastAsia="Calibri" w:hAnsi="Calibri"/>
                <w:color w:val="BE1E2D"/>
                <w:sz w:val="18"/>
                <w:szCs w:val="18"/>
              </w:rPr>
              <w:t xml:space="preserve">, NYS Inter-Agency Fire Safety Working Group. </w:t>
            </w:r>
            <w:r>
              <w:rPr>
                <w:rFonts w:ascii="Calibri" w:cs="Calibri" w:eastAsia="Calibri" w:hAnsi="Calibri"/>
                <w:color w:val="54565A"/>
                <w:sz w:val="18"/>
                <w:szCs w:val="18"/>
              </w:rPr>
              <w:t xml:space="preserve">Independent testing after New York's 2023 incidents found no significant contamination beyond the sites.</w:t>
            </w:r>
          </w:p>
          <w:p>
            <w:pPr>
              <w:spacing w:after="120" w:before="0" w:line="252" w:lineRule="auto"/>
            </w:pPr>
            <w:hyperlink w:history="1" r:id="rIdtrmltt-2qsf2ktuafmxz3">
              <w:r>
                <w:rPr>
                  <w:rFonts w:ascii="Calibri" w:cs="Calibri" w:eastAsia="Calibri" w:hAnsi="Calibri"/>
                  <w:b/>
                  <w:bCs/>
                  <w:color w:val="1A1818"/>
                  <w:sz w:val="19"/>
                  <w:szCs w:val="19"/>
                </w:rPr>
                <w:t xml:space="preserve">Fire Code Recommendations Report</w:t>
              </w:r>
            </w:hyperlink>
            <w:r>
              <w:rPr>
                <w:rFonts w:ascii="Calibri" w:cs="Calibri" w:eastAsia="Calibri" w:hAnsi="Calibri"/>
                <w:color w:val="BE1E2D"/>
                <w:sz w:val="18"/>
                <w:szCs w:val="18"/>
              </w:rPr>
              <w:t xml:space="preserve">, NYS Inter-Agency Fire Safety Working Group. </w:t>
            </w:r>
            <w:r>
              <w:rPr>
                <w:rFonts w:ascii="Calibri" w:cs="Calibri" w:eastAsia="Calibri" w:hAnsi="Calibri"/>
                <w:color w:val="54565A"/>
                <w:sz w:val="18"/>
                <w:szCs w:val="18"/>
              </w:rPr>
              <w:t xml:space="preserve">What the state changed and why. These recommendations became the 2025 code.</w:t>
            </w:r>
          </w:p>
          <w:p>
            <w:pPr>
              <w:spacing w:after="120" w:before="0" w:line="252" w:lineRule="auto"/>
            </w:pPr>
            <w:hyperlink w:history="1" r:id="rId6iq1inl8wwq5z8hr69_5m">
              <w:r>
                <w:rPr>
                  <w:rFonts w:ascii="Calibri" w:cs="Calibri" w:eastAsia="Calibri" w:hAnsi="Calibri"/>
                  <w:b/>
                  <w:bCs/>
                  <w:color w:val="1A1818"/>
                  <w:sz w:val="19"/>
                  <w:szCs w:val="19"/>
                </w:rPr>
                <w:t xml:space="preserve">Insights from EPRI's BESS Failure Incident Database</w:t>
              </w:r>
            </w:hyperlink>
            <w:r>
              <w:rPr>
                <w:rFonts w:ascii="Calibri" w:cs="Calibri" w:eastAsia="Calibri" w:hAnsi="Calibri"/>
                <w:color w:val="BE1E2D"/>
                <w:sz w:val="18"/>
                <w:szCs w:val="18"/>
              </w:rPr>
              <w:t xml:space="preserve">, Electric Power Research Institute. </w:t>
            </w:r>
            <w:r>
              <w:rPr>
                <w:rFonts w:ascii="Calibri" w:cs="Calibri" w:eastAsia="Calibri" w:hAnsi="Calibri"/>
                <w:color w:val="54565A"/>
                <w:sz w:val="18"/>
                <w:szCs w:val="18"/>
              </w:rPr>
              <w:t xml:space="preserve">Most past incidents traced to controls and wiring, and the rate has fallen sharply since 2018.</w:t>
            </w:r>
          </w:p>
          <w:p>
            <w:pPr>
              <w:keepNext/>
              <w:pBdr>
                <w:bottom w:val="single" w:color="E2E1E7" w:sz="12" w:space="2"/>
              </w:pBdr>
              <w:spacing w:after="50" w:before="100" w:line="264" w:lineRule="auto"/>
            </w:pPr>
            <w:r>
              <w:rPr>
                <w:rFonts w:ascii="Calibri" w:cs="Calibri" w:eastAsia="Calibri" w:hAnsi="Calibri"/>
                <w:b/>
                <w:bCs/>
                <w:color w:val="BE1E2D"/>
                <w:spacing w:val="20"/>
                <w:sz w:val="17"/>
                <w:szCs w:val="17"/>
              </w:rPr>
              <w:t xml:space="preserve">WHERE TO GET HELP</w:t>
            </w:r>
          </w:p>
          <w:p>
            <w:pPr>
              <w:spacing w:after="70" w:before="0" w:line="264" w:lineRule="auto"/>
            </w:pPr>
            <w:r>
              <w:rPr>
                <w:rFonts w:ascii="Calibri" w:cs="Calibri" w:eastAsia="Calibri" w:hAnsi="Calibri"/>
                <w:i/>
                <w:iCs/>
                <w:color w:val="54565A"/>
                <w:sz w:val="18"/>
                <w:szCs w:val="18"/>
              </w:rPr>
              <w:t xml:space="preserve">You do not have to do this alone</w:t>
            </w:r>
          </w:p>
          <w:p>
            <w:pPr>
              <w:spacing w:after="120" w:before="0" w:line="252" w:lineRule="auto"/>
            </w:pPr>
            <w:r>
              <w:rPr>
                <w:rFonts w:ascii="Calibri" w:cs="Calibri" w:eastAsia="Calibri" w:hAnsi="Calibri"/>
                <w:color w:val="BE1E2D"/>
                <w:sz w:val="17"/>
                <w:szCs w:val="17"/>
              </w:rPr>
              <w:t xml:space="preserve">★ </w:t>
            </w:r>
            <w:hyperlink w:history="1" r:id="rIdwwqxhrlf4hl-clhkhlrpg">
              <w:r>
                <w:rPr>
                  <w:rFonts w:ascii="Calibri" w:cs="Calibri" w:eastAsia="Calibri" w:hAnsi="Calibri"/>
                  <w:b/>
                  <w:bCs/>
                  <w:color w:val="1A1818"/>
                  <w:sz w:val="19"/>
                  <w:szCs w:val="19"/>
                </w:rPr>
                <w:t xml:space="preserve">NYSERDA Clean Energy Siting Team</w:t>
              </w:r>
            </w:hyperlink>
            <w:r>
              <w:rPr>
                <w:rFonts w:ascii="Calibri" w:cs="Calibri" w:eastAsia="Calibri" w:hAnsi="Calibri"/>
                <w:color w:val="BE1E2D"/>
                <w:sz w:val="18"/>
                <w:szCs w:val="18"/>
              </w:rPr>
              <w:t xml:space="preserve">, NYSERDA. </w:t>
            </w:r>
            <w:r>
              <w:rPr>
                <w:rFonts w:ascii="Calibri" w:cs="Calibri" w:eastAsia="Calibri" w:hAnsi="Calibri"/>
                <w:color w:val="54565A"/>
                <w:sz w:val="18"/>
                <w:szCs w:val="18"/>
              </w:rPr>
              <w:t xml:space="preserve">Free one-to-one help for municipalities: cleanenergyhelp@nyserda.ny.gov.</w:t>
            </w:r>
          </w:p>
          <w:p>
            <w:pPr>
              <w:spacing w:after="120" w:before="0" w:line="252" w:lineRule="auto"/>
            </w:pPr>
            <w:hyperlink w:history="1" r:id="rId5h-wzjqaclpiq3ogoif9r">
              <w:r>
                <w:rPr>
                  <w:rFonts w:ascii="Calibri" w:cs="Calibri" w:eastAsia="Calibri" w:hAnsi="Calibri"/>
                  <w:b/>
                  <w:bCs/>
                  <w:color w:val="1A1818"/>
                  <w:sz w:val="19"/>
                  <w:szCs w:val="19"/>
                </w:rPr>
                <w:t xml:space="preserve">Land Use Technical Assistance</w:t>
              </w:r>
            </w:hyperlink>
            <w:r>
              <w:rPr>
                <w:rFonts w:ascii="Calibri" w:cs="Calibri" w:eastAsia="Calibri" w:hAnsi="Calibri"/>
                <w:color w:val="BE1E2D"/>
                <w:sz w:val="18"/>
                <w:szCs w:val="18"/>
              </w:rPr>
              <w:t xml:space="preserve">, Pace University Land Use Law Center. </w:t>
            </w:r>
            <w:r>
              <w:rPr>
                <w:rFonts w:ascii="Calibri" w:cs="Calibri" w:eastAsia="Calibri" w:hAnsi="Calibri"/>
                <w:color w:val="54565A"/>
                <w:sz w:val="18"/>
                <w:szCs w:val="18"/>
              </w:rPr>
              <w:t xml:space="preserve">Zoning code analysis and community education, fee for service: (914) 422-4034.</w:t>
            </w:r>
          </w:p>
          <w:p>
            <w:pPr>
              <w:spacing w:after="120" w:before="0" w:line="252" w:lineRule="auto"/>
            </w:pPr>
            <w:hyperlink w:history="1" r:id="rId993ird1awlhvzjzlcz_uy">
              <w:r>
                <w:rPr>
                  <w:rFonts w:ascii="Calibri" w:cs="Calibri" w:eastAsia="Calibri" w:hAnsi="Calibri"/>
                  <w:b/>
                  <w:bCs/>
                  <w:color w:val="1A1818"/>
                  <w:sz w:val="19"/>
                  <w:szCs w:val="19"/>
                </w:rPr>
                <w:t xml:space="preserve">Sustainable Westchester</w:t>
              </w:r>
            </w:hyperlink>
            <w:r>
              <w:rPr>
                <w:rFonts w:ascii="Calibri" w:cs="Calibri" w:eastAsia="Calibri" w:hAnsi="Calibri"/>
                <w:color w:val="BE1E2D"/>
                <w:sz w:val="18"/>
                <w:szCs w:val="18"/>
              </w:rPr>
              <w:t xml:space="preserve">, Sustainable Westchester. </w:t>
            </w:r>
            <w:r>
              <w:rPr>
                <w:rFonts w:ascii="Calibri" w:cs="Calibri" w:eastAsia="Calibri" w:hAnsi="Calibri"/>
                <w:color w:val="54565A"/>
                <w:sz w:val="18"/>
                <w:szCs w:val="18"/>
              </w:rPr>
              <w:t xml:space="preserve">Municipal energy programs and support across the county's member communities.</w:t>
            </w:r>
          </w:p>
          <w:p>
            <w:pPr>
              <w:spacing w:after="120" w:before="0" w:line="252" w:lineRule="auto"/>
            </w:pPr>
            <w:hyperlink w:history="1" r:id="rIdug8bs-aaod-wugbb-3ssq">
              <w:r>
                <w:rPr>
                  <w:rFonts w:ascii="Calibri" w:cs="Calibri" w:eastAsia="Calibri" w:hAnsi="Calibri"/>
                  <w:b/>
                  <w:bCs/>
                  <w:color w:val="1A1818"/>
                  <w:sz w:val="19"/>
                  <w:szCs w:val="19"/>
                </w:rPr>
                <w:t xml:space="preserve">CEAC Battery Storage Dashboard and Live Policy Tracker</w:t>
              </w:r>
            </w:hyperlink>
            <w:r>
              <w:rPr>
                <w:rFonts w:ascii="Calibri" w:cs="Calibri" w:eastAsia="Calibri" w:hAnsi="Calibri"/>
                <w:color w:val="BE1E2D"/>
                <w:sz w:val="18"/>
                <w:szCs w:val="18"/>
              </w:rPr>
              <w:t xml:space="preserve">, Clean Energy Action Coalition, BCW. </w:t>
            </w:r>
            <w:r>
              <w:rPr>
                <w:rFonts w:ascii="Calibri" w:cs="Calibri" w:eastAsia="Calibri" w:hAnsi="Calibri"/>
                <w:color w:val="54565A"/>
                <w:sz w:val="18"/>
                <w:szCs w:val="18"/>
              </w:rPr>
              <w:t xml:space="preserve">Where every Westchester municipality stands, plus the evidence pages summarized on the front.</w:t>
            </w:r>
          </w:p>
        </w:tc>
      </w:tr>
    </w:tbl>
    <w:p>
      <w:pPr>
        <w:spacing w:after="0" w:before="120" w:line="264" w:lineRule="auto"/>
      </w:pPr>
      <w:r>
        <w:rPr>
          <w:rFonts w:ascii="Calibri" w:cs="Calibri" w:eastAsia="Calibri" w:hAnsi="Calibri"/>
          <w:color w:val="54565A"/>
          <w:sz w:val="14"/>
          <w:szCs w:val="14"/>
        </w:rPr>
        <w:t xml:space="preserve">Links checked October 2026. Clickable in the PDF; the same list lives in the dashboard's Resource Center: </w:t>
      </w:r>
      <w:hyperlink w:history="1" r:id="rIdamva7m3ryea1wwg4km19j">
        <w:r>
          <w:rPr>
            <w:rFonts w:ascii="Calibri" w:cs="Calibri" w:eastAsia="Calibri" w:hAnsi="Calibri"/>
            <w:color w:val="BE1E2D"/>
            <w:sz w:val="14"/>
            <w:szCs w:val="14"/>
          </w:rPr>
          <w:t xml:space="preserve">starrysidekick.github.io/CEAC-Dashboard/resources.html</w:t>
        </w:r>
      </w:hyperlink>
    </w:p>
    <w:sectPr>
      <w:pgSz w:w="12240" w:h="15840" w:orient="portrait"/>
      <w:pgMar w:top="620" w:right="620" w:bottom="54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200"/>
      </w:pPr>
      <w:rPr>
        <w:color w:val="3E7D5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818"/>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m69gp899cjqgpwdbf06m" Type="http://schemas.openxmlformats.org/officeDocument/2006/relationships/hyperlink" Target="https://starrysidekick.github.io/CEAC-Dashboard/" TargetMode="External"/><Relationship Id="rId_fypeiaw6u31pinkhacfm" Type="http://schemas.openxmlformats.org/officeDocument/2006/relationships/hyperlink" Target="https://www.nyserda.ny.gov/-/media/Project/Nyserda/Files/Publications/Fact-Sheets/ES-constituents-fs-1-v1_acc.pdf" TargetMode="External"/><Relationship Id="rIdrklmwh93ah-ikiyindgwj" Type="http://schemas.openxmlformats.org/officeDocument/2006/relationships/hyperlink" Target="https://www.nyserda.ny.gov/-/media/Project/Nyserda/Files/Publications/Fact-Sheets/battery-energy-storage-influencer.pdf" TargetMode="External"/><Relationship Id="rIdv3jm90m6fnhd5jg2xvssh" Type="http://schemas.openxmlformats.org/officeDocument/2006/relationships/hyperlink" Target="https://www.nyserda.ny.gov/storageguidebook" TargetMode="External"/><Relationship Id="rIdwaymubkbbdqh1qn40qgoz" Type="http://schemas.openxmlformats.org/officeDocument/2006/relationships/hyperlink" Target="https://www.nyserda.ny.gov/-/media/Project/Nyserda/Files/Programs/Clean-Energy-Siting/Battery-Energy-Storage-System-Model-Law.pdf" TargetMode="External"/><Relationship Id="rIdibwqvapomxudqtc6t-2wi" Type="http://schemas.openxmlformats.org/officeDocument/2006/relationships/hyperlink" Target="https://www.nyserda.ny.gov/-/media/Project/Nyserda/Files/Programs/Clean-Energy-Siting/Battery-Energy-Storage-System-Model-Permit.pdf" TargetMode="External"/><Relationship Id="rId-qgdxvorwxdhbctmvafkr" Type="http://schemas.openxmlformats.org/officeDocument/2006/relationships/hyperlink" Target="https://www.nyserda.ny.gov/-/media/Project/Nyserda/Files/Programs/Clean-Energy-Siting/Battery-Energy-Storage-System-FAQ.pdf" TargetMode="External"/><Relationship Id="rId-xawpholbizmkwevob7yn" Type="http://schemas.openxmlformats.org/officeDocument/2006/relationships/hyperlink" Target="https://www.pnnl.gov/publications/principles-and-options-designing-battery-energy-storage-zoning-ordinances" TargetMode="External"/><Relationship Id="rIdk4q_kamqc5oilhcw_yenq" Type="http://schemas.openxmlformats.org/officeDocument/2006/relationships/hyperlink" Target="https://emergencyservices.westchestercountyny.gov/bess-safety-notification-program" TargetMode="External"/><Relationship Id="rIddytw_4pnqs-mu7uwwjcfj" Type="http://schemas.openxmlformats.org/officeDocument/2006/relationships/hyperlink" Target="https://emergencyservices.westchestercountyny.gov/images/pdfs/BESS_Notification_Form_Update.pdf" TargetMode="External"/><Relationship Id="rIdpmkbhta6jvf4lorianiwp" Type="http://schemas.openxmlformats.org/officeDocument/2006/relationships/hyperlink" Target="https://library.municode.com/ny/westchester_county/codes/code_of_ordinances?nodeId=PTIVOTLOLAACRE_CH637NOBAENSTSYLOMUWECO_S637.03NORE" TargetMode="External"/><Relationship Id="rId3nr59altqrxfm5tbdgif1" Type="http://schemas.openxmlformats.org/officeDocument/2006/relationships/hyperlink" Target="https://www.dhses.ny.gov/system/files/documents/2023/11/bess.pdf" TargetMode="External"/><Relationship Id="rIdkaota489gkv4yjpoyr1eq" Type="http://schemas.openxmlformats.org/officeDocument/2006/relationships/hyperlink" Target="https://www.dhses.ny.gov/battery-emergencies-and-electrical-storage-systems-training-course" TargetMode="External"/><Relationship Id="rIdu204__ts53sbfbtp24zma" Type="http://schemas.openxmlformats.org/officeDocument/2006/relationships/hyperlink" Target="https://www.nyserda.ny.gov/All-Programs/Clean-Energy-Siting-Resources/Webinar-Series" TargetMode="External"/><Relationship Id="rIdx-imqwnbcdn0oa4tto_jf" Type="http://schemas.openxmlformats.org/officeDocument/2006/relationships/hyperlink" Target="https://dos.ny.gov/system/files/documents/2025/07/2025fcnys_noa_2025-07-24.pdf" TargetMode="External"/><Relationship Id="rId-nc5udcvenjdek_b2vt1z" Type="http://schemas.openxmlformats.org/officeDocument/2006/relationships/hyperlink" Target="https://www.epri.com/research/programs/053125/results/3002033944" TargetMode="External"/><Relationship Id="rIdlwcsoo7mgbvgqcbmtot5i" Type="http://schemas.openxmlformats.org/officeDocument/2006/relationships/hyperlink" Target="https://www.nyserda.ny.gov/-/media/Project/Nyserda/Files/Programs/Clean-Energy-Siting/NYS-Data-Collection-Report.pdf" TargetMode="External"/><Relationship Id="rIdtrmltt-2qsf2ktuafmxz3" Type="http://schemas.openxmlformats.org/officeDocument/2006/relationships/hyperlink" Target="https://www.nyserda.ny.gov/-/media/Project/Nyserda/Files/Programs/Clean-Energy-Siting/Fire-Code-Recommendations-Report.pdf" TargetMode="External"/><Relationship Id="rId6iq1inl8wwq5z8hr69_5m" Type="http://schemas.openxmlformats.org/officeDocument/2006/relationships/hyperlink" Target="https://restservice.epri.com/publicdownload/000000003002030360/0/Product" TargetMode="External"/><Relationship Id="rIdwwqxhrlf4hl-clhkhlrpg" Type="http://schemas.openxmlformats.org/officeDocument/2006/relationships/hyperlink" Target="https://www.nyserda.ny.gov/siting" TargetMode="External"/><Relationship Id="rId5h-wzjqaclpiq3ogoif9r" Type="http://schemas.openxmlformats.org/officeDocument/2006/relationships/hyperlink" Target="https://www.pace.edu/law/centers-and-institutes/land-use-law-center/training-programs-and-technical-assistance/land-use" TargetMode="External"/><Relationship Id="rId993ird1awlhvzjzlcz_uy" Type="http://schemas.openxmlformats.org/officeDocument/2006/relationships/hyperlink" Target="https://sustainablewestchester.org/" TargetMode="External"/><Relationship Id="rIdug8bs-aaod-wugbb-3ssq" Type="http://schemas.openxmlformats.org/officeDocument/2006/relationships/hyperlink" Target="https://starrysidekick.github.io/CEAC-Dashboard/" TargetMode="External"/><Relationship Id="rIdamva7m3ryea1wwg4km19j" Type="http://schemas.openxmlformats.org/officeDocument/2006/relationships/hyperlink" Target="https://starrysidekick.github.io/CEAC-Dashboard/resources.html" TargetMode="External"/><Relationship Id="rId7" Type="http://schemas.openxmlformats.org/officeDocument/2006/relationships/image" Target="media/7fcce9b6f8b779a4c1e496b2de2530de5169247e.png"/><Relationship Id="rId8" Type="http://schemas.openxmlformats.org/officeDocument/2006/relationships/image" Target="media/5c37150136a3c6dd65979275f4afd6a798e3c536.png"/><Relationship Id="rId33" Type="http://schemas.openxmlformats.org/officeDocument/2006/relationships/fontTable" Target="fontTable.xml"/><Relationship Id="rIdColumbiaMap" Type="http://schemas.openxmlformats.org/officeDocument/2006/relationships/hyperlink" Target="https://experience.arcgis.com/experience/0233f75078754188a75bc614ef5dab9b"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Battery Storage in Westchester: What Local Leaders Should Know</dc:title>
  <dc:creator>Clean Energy Action Coalition</dc:creator>
  <cp:lastModifiedBy>Un-named</cp:lastModifiedBy>
  <cp:revision>1</cp:revision>
  <dcterms:created xsi:type="dcterms:W3CDTF">2026-10-13T21:44:07.180Z</dcterms:created>
  <dcterms:modified xsi:type="dcterms:W3CDTF">2026-10-13T21:44:07.181Z</dcterms:modified>
</cp:coreProperties>
</file>

<file path=docProps/custom.xml><?xml version="1.0" encoding="utf-8"?>
<Properties xmlns="http://schemas.openxmlformats.org/officeDocument/2006/custom-properties" xmlns:vt="http://schemas.openxmlformats.org/officeDocument/2006/docPropsVTypes"/>
</file>