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 Rounded" w:cs="Arial Rounded" w:eastAsia="Arial Rounded" w:hAnsi="Arial Rounded"/>
          <w:b w:val="1"/>
          <w:color w:val="000000"/>
          <w:sz w:val="50"/>
          <w:szCs w:val="5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50"/>
          <w:szCs w:val="50"/>
          <w:rtl w:val="0"/>
        </w:rPr>
        <w:t xml:space="preserve">CARDIOLOGY_Team4_Report.docx</w:t>
      </w:r>
    </w:p>
    <w:p w:rsidR="00000000" w:rsidDel="00000000" w:rsidP="00000000" w:rsidRDefault="00000000" w:rsidRPr="00000000" w14:paraId="00000002">
      <w:pPr>
        <w:pStyle w:val="Heading2"/>
        <w:rPr>
          <w:rFonts w:ascii="Arial Rounded" w:cs="Arial Rounded" w:eastAsia="Arial Rounded" w:hAnsi="Arial Rounded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000000"/>
          <w:sz w:val="44"/>
          <w:szCs w:val="44"/>
          <w:rtl w:val="0"/>
        </w:rPr>
        <w:t xml:space="preserve">Research Documentation</w:t>
      </w:r>
    </w:p>
    <w:p w:rsidR="00000000" w:rsidDel="00000000" w:rsidP="00000000" w:rsidRDefault="00000000" w:rsidRPr="00000000" w14:paraId="00000003">
      <w:pPr>
        <w:pStyle w:val="Heading4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Congenital Heart Defect and Other Vascular Condition</w:t>
      </w:r>
    </w:p>
    <w:p w:rsidR="00000000" w:rsidDel="00000000" w:rsidP="00000000" w:rsidRDefault="00000000" w:rsidRPr="00000000" w14:paraId="00000004">
      <w:pPr>
        <w:spacing w:after="300" w:before="30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4 (Cardiology)</w:t>
      </w:r>
      <w:r w:rsidDel="00000000" w:rsidR="00000000" w:rsidRPr="00000000">
        <w:rPr>
          <w:rFonts w:ascii="Aptos" w:cs="Aptos" w:eastAsia="Aptos" w:hAnsi="Aptos"/>
          <w:rtl w:val="0"/>
        </w:rPr>
        <w:t xml:space="preserve"> sourced data from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Sources Used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PubMed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Heart Association (AHA)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Health Organization (WHO) reports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Clinical guidelines from the European Society of Cardiology (ESC)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 clinic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Cleveland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clinic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NCBI bookshelf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Hopkins clinic b</w:t>
      </w:r>
    </w:p>
    <w:p w:rsidR="00000000" w:rsidDel="00000000" w:rsidP="00000000" w:rsidRDefault="00000000" w:rsidRPr="00000000" w14:paraId="0000000F">
      <w:pPr>
        <w:spacing w:after="300" w:before="300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Methodology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rtl w:val="0"/>
        </w:rPr>
        <w:t xml:space="preserve"> We searched clinical guidelines using keywords such as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"congenital heart disease management, causes, epidemiology"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"CHD treatment 2020+"</w:t>
      </w:r>
      <w:r w:rsidDel="00000000" w:rsidR="00000000" w:rsidRPr="00000000">
        <w:rPr>
          <w:rFonts w:ascii="Aptos" w:cs="Aptos" w:eastAsia="Aptos" w:hAnsi="Aptos"/>
          <w:rtl w:val="0"/>
        </w:rPr>
        <w:t xml:space="preserve">, and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"pediatric cardiology guidelines"</w:t>
      </w:r>
      <w:r w:rsidDel="00000000" w:rsidR="00000000" w:rsidRPr="00000000">
        <w:rPr>
          <w:rFonts w:ascii="Aptos" w:cs="Aptos" w:eastAsia="Aptos" w:hAnsi="Aptos"/>
          <w:rtl w:val="0"/>
        </w:rPr>
        <w:t xml:space="preserve">. Filters were applied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 dates from 2019 to 2025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language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 studies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Pediatric and adolescent populations</w:t>
      </w:r>
    </w:p>
    <w:p w:rsidR="00000000" w:rsidDel="00000000" w:rsidP="00000000" w:rsidRDefault="00000000" w:rsidRPr="00000000" w14:paraId="00000014">
      <w:pPr>
        <w:spacing w:after="300" w:before="30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We prioritized systematic reviews, meta-analyses, and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before="300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Challenges Faced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recent data on rare congenital heart anomalies (e.g., Ebstein's anomaly)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regional treatment guidelines (e.g., Sub-Saharan Africa) lacked detailed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Variability in classification systems across studies (e.g., cyanotic vs. acyanotic grouping)</w:t>
      </w:r>
    </w:p>
    <w:p w:rsidR="00000000" w:rsidDel="00000000" w:rsidP="00000000" w:rsidRDefault="00000000" w:rsidRPr="00000000" w14:paraId="00000019">
      <w:pPr>
        <w:spacing w:after="300" w:before="300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Date Accessed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rtl w:val="0"/>
        </w:rPr>
        <w:t xml:space="preserve"> May 2–8,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0" w:before="300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Description of Contents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rtl w:val="0"/>
        </w:rPr>
        <w:t xml:space="preserve"> Collected documents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AHA guidelines on congenital heart disease (2023)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statistical updates on pediatric CHD mortality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Meta-analyses on surgical outcomes and long-term prognosis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Pulmonary hypertension</w:t>
      </w:r>
    </w:p>
    <w:p w:rsidR="00000000" w:rsidDel="00000000" w:rsidP="00000000" w:rsidRDefault="00000000" w:rsidRPr="00000000" w14:paraId="0000001F">
      <w:pPr>
        <w:spacing w:after="300" w:before="300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File Format and Size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 (guidelines):  MB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notes/summaries: 2.5MB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351" w:before="35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35"/>
          <w:szCs w:val="35"/>
          <w:rtl w:val="0"/>
        </w:rPr>
        <w:t xml:space="preserve">2. Disease List &amp; Individual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00" w:before="300" w:lineRule="auto"/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Specialty</w:t>
      </w:r>
      <w:r w:rsidDel="00000000" w:rsidR="00000000" w:rsidRPr="00000000">
        <w:rPr>
          <w:rFonts w:ascii="Aptos" w:cs="Aptos" w:eastAsia="Aptos" w:hAnsi="Aptos"/>
          <w:rtl w:val="0"/>
        </w:rPr>
        <w:t xml:space="preserve">: Cardiology</w:t>
      </w:r>
      <w:r w:rsidDel="00000000" w:rsidR="00000000" w:rsidRPr="00000000">
        <w:rPr>
          <w:rtl w:val="0"/>
        </w:rPr>
      </w:r>
    </w:p>
    <w:tbl>
      <w:tblPr>
        <w:tblStyle w:val="Table1"/>
        <w:tblW w:w="8746.0" w:type="dxa"/>
        <w:jc w:val="left"/>
        <w:tblLayout w:type="fixed"/>
        <w:tblLook w:val="0600"/>
      </w:tblPr>
      <w:tblGrid>
        <w:gridCol w:w="5363"/>
        <w:gridCol w:w="3383"/>
        <w:tblGridChange w:id="0">
          <w:tblGrid>
            <w:gridCol w:w="5363"/>
            <w:gridCol w:w="338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Diseases/Conditions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 Assigned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Atrial Septal Defect (ASD),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          SHARON-ROSE 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Ventricular Septal Defect (VSD),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Tetralogy of Fallot,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Coarctation of the Aorta,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Transposition of the Great Arteries (TGA), 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Pulmonary Stenosis, Tricuspid atresia,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Hypoplastic left heart syndrome, 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Total Anomalous Pulmonary Venous Return (TAPVR), Truncus arteriosus, Coarctation aorta, Single ventricle defects, Pulmonary valve stenosis, Bicuspid aortic valve, Double outlet right Ventricle, Hypertensive heart failure,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Hypertensive heart disease, Hypertensive crisis,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Heart murmur, Myocardial infarction,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Rheumatic heart disease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Fonts w:ascii="Aptos" w:cs="Aptos" w:eastAsia="Aptos" w:hAnsi="Aptos"/>
          <w:b w:val="1"/>
          <w:sz w:val="35"/>
          <w:szCs w:val="35"/>
          <w:rtl w:val="0"/>
        </w:rPr>
        <w:t xml:space="preserve">3. Submission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May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rial Rounded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rsid w:val="4686EE4E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IhVfFmfmEeKPezMYyYpoII5Pg==">CgMxLjA4AHIhMXlWTFZVcnRaSmg2X3RjakhxNVA1SU5xZEJwSEVIMWt5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2025-05-29T20:35:00Z</dcterms:created>
  <dc:creator>Sharon-Rose</dc:creator>
</cp:coreProperties>
</file>