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80" w:before="360" w:line="279" w:lineRule="auto"/>
        <w:rPr>
          <w:rFonts w:ascii="Arial Rounded" w:cs="Arial Rounded" w:eastAsia="Arial Rounded" w:hAnsi="Arial Rounded"/>
          <w:b w:val="1"/>
          <w:sz w:val="48"/>
          <w:szCs w:val="48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48"/>
          <w:szCs w:val="48"/>
          <w:rtl w:val="0"/>
        </w:rPr>
        <w:t xml:space="preserve">ENDOCRINOLOGY_Team4_Report.docx</w:t>
      </w:r>
    </w:p>
    <w:p w:rsidR="00000000" w:rsidDel="00000000" w:rsidP="00000000" w:rsidRDefault="00000000" w:rsidRPr="00000000" w14:paraId="00000002">
      <w:pPr>
        <w:pStyle w:val="Heading2"/>
        <w:spacing w:after="80" w:before="160" w:line="279" w:lineRule="auto"/>
        <w:rPr>
          <w:rFonts w:ascii="Arial Rounded" w:cs="Arial Rounded" w:eastAsia="Arial Rounded" w:hAnsi="Arial Rounded"/>
          <w:b w:val="1"/>
          <w:sz w:val="44"/>
          <w:szCs w:val="44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44"/>
          <w:szCs w:val="44"/>
          <w:rtl w:val="0"/>
        </w:rPr>
        <w:t xml:space="preserve">Research Documentation</w:t>
      </w:r>
    </w:p>
    <w:p w:rsidR="00000000" w:rsidDel="00000000" w:rsidP="00000000" w:rsidRDefault="00000000" w:rsidRPr="00000000" w14:paraId="00000003">
      <w:pPr>
        <w:pStyle w:val="Heading4"/>
        <w:spacing w:after="40" w:before="80" w:line="279" w:lineRule="auto"/>
        <w:rPr>
          <w:rFonts w:ascii="Aptos" w:cs="Aptos" w:eastAsia="Aptos" w:hAnsi="Aptos"/>
          <w:i w:val="1"/>
          <w:color w:val="000000"/>
          <w:sz w:val="40"/>
          <w:szCs w:val="40"/>
        </w:rPr>
      </w:pPr>
      <w:r w:rsidDel="00000000" w:rsidR="00000000" w:rsidRPr="00000000">
        <w:rPr>
          <w:rFonts w:ascii="Aptos" w:cs="Aptos" w:eastAsia="Aptos" w:hAnsi="Aptos"/>
          <w:i w:val="1"/>
          <w:color w:val="000000"/>
          <w:sz w:val="40"/>
          <w:szCs w:val="40"/>
          <w:rtl w:val="0"/>
        </w:rPr>
        <w:t xml:space="preserve">Endocrinology (Hormones: Diabetes, Thyroid)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300" w:before="300" w:line="279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Team 4 (Endocrinology)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sourced data from the following: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300" w:line="279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Sources Used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79" w:lineRule="auto"/>
        <w:ind w:left="144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PubMed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79" w:lineRule="auto"/>
        <w:ind w:left="144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American Heart Association (AHA)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79" w:lineRule="auto"/>
        <w:ind w:left="144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World Health Organization (WHO) reports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79" w:lineRule="auto"/>
        <w:ind w:left="144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Clinical guidelines from the European Society of Cardiology (ESC)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79" w:lineRule="auto"/>
        <w:ind w:left="144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CDC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9" w:lineRule="auto"/>
        <w:ind w:left="144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Mayo clinic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79" w:lineRule="auto"/>
        <w:ind w:left="144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Cleveland clinic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79" w:lineRule="auto"/>
        <w:ind w:left="144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NCBI bookshelf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300" w:line="279" w:lineRule="auto"/>
        <w:ind w:left="144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John Hopkins clinic </w:t>
      </w:r>
    </w:p>
    <w:p w:rsidR="00000000" w:rsidDel="00000000" w:rsidP="00000000" w:rsidRDefault="00000000" w:rsidRPr="00000000" w14:paraId="0000000F">
      <w:pPr>
        <w:spacing w:after="300" w:before="300" w:line="279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Methodology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:</w:t>
        <w:br w:type="textWrapping"/>
        <w:t xml:space="preserve"> We searched clinical guidelines using keywords such as </w:t>
      </w:r>
      <w:r w:rsidDel="00000000" w:rsidR="00000000" w:rsidRPr="00000000">
        <w:rPr>
          <w:rFonts w:ascii="Aptos" w:cs="Aptos" w:eastAsia="Aptos" w:hAnsi="Aptos"/>
          <w:i w:val="1"/>
          <w:sz w:val="24"/>
          <w:szCs w:val="24"/>
          <w:rtl w:val="0"/>
        </w:rPr>
        <w:t xml:space="preserve">"endocrinology related diseases, causes, epidemiology"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ptos" w:cs="Aptos" w:eastAsia="Aptos" w:hAnsi="Aptos"/>
          <w:i w:val="1"/>
          <w:sz w:val="24"/>
          <w:szCs w:val="24"/>
          <w:rtl w:val="0"/>
        </w:rPr>
        <w:t xml:space="preserve">"CHD treatment 2020+"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Aptos" w:cs="Aptos" w:eastAsia="Aptos" w:hAnsi="Aptos"/>
          <w:i w:val="1"/>
          <w:sz w:val="24"/>
          <w:szCs w:val="24"/>
          <w:rtl w:val="0"/>
        </w:rPr>
        <w:t xml:space="preserve">"recent guidelines for endocrinology related diseases"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. Filters were applied for: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before="300" w:line="279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Publication dates from 2019 to 2025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279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English language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279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Human studies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279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Pediatrics and adolescent populations</w:t>
      </w:r>
    </w:p>
    <w:p w:rsidR="00000000" w:rsidDel="00000000" w:rsidP="00000000" w:rsidRDefault="00000000" w:rsidRPr="00000000" w14:paraId="00000014">
      <w:pPr>
        <w:spacing w:after="300" w:before="300" w:line="279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We prioritized systematic reviews, meta-analyses, and guidelines.</w:t>
      </w:r>
    </w:p>
    <w:p w:rsidR="00000000" w:rsidDel="00000000" w:rsidP="00000000" w:rsidRDefault="00000000" w:rsidRPr="00000000" w14:paraId="00000015">
      <w:pPr>
        <w:spacing w:after="300" w:before="300" w:line="279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Challenges Faced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before="300" w:line="279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Limited recent data on rare congenital heart anomalies (e.g. Type 3 diabetes)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79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Some regional treatment guidelines (e.g., Sub-Saharan Africa) lacked detailed data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300" w:line="279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Variability in classification systems across studies (e.g., cyanotic vs. acyanotic grouping)</w:t>
      </w:r>
    </w:p>
    <w:p w:rsidR="00000000" w:rsidDel="00000000" w:rsidP="00000000" w:rsidRDefault="00000000" w:rsidRPr="00000000" w14:paraId="00000019">
      <w:pPr>
        <w:spacing w:after="300" w:before="300" w:line="279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Date Accessed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:</w:t>
        <w:br w:type="textWrapping"/>
        <w:t xml:space="preserve"> May 9–16, 2025, June 9-</w:t>
      </w:r>
    </w:p>
    <w:p w:rsidR="00000000" w:rsidDel="00000000" w:rsidP="00000000" w:rsidRDefault="00000000" w:rsidRPr="00000000" w14:paraId="0000001A">
      <w:pPr>
        <w:spacing w:after="300" w:before="300" w:line="279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Description of Contents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:</w:t>
        <w:br w:type="textWrapping"/>
        <w:t xml:space="preserve"> Collected documents included: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before="300" w:line="279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AHA guidelines on diabetes (2023)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79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WHO statistical updates on pediatric diabetes mortality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79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Meta-analyses on surgical outcomes and long-term prognosis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300" w:line="279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Thyroid disease and diabetes</w:t>
      </w:r>
    </w:p>
    <w:p w:rsidR="00000000" w:rsidDel="00000000" w:rsidP="00000000" w:rsidRDefault="00000000" w:rsidRPr="00000000" w14:paraId="0000001F">
      <w:pPr>
        <w:spacing w:after="300" w:before="300" w:line="279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File Format and Size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before="300" w:line="279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PDF (guidelines):  MB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300" w:line="279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Word notes/summaries: 4.8MB</w:t>
      </w:r>
    </w:p>
    <w:p w:rsidR="00000000" w:rsidDel="00000000" w:rsidP="00000000" w:rsidRDefault="00000000" w:rsidRPr="00000000" w14:paraId="00000022">
      <w:pPr>
        <w:spacing w:after="160" w:line="279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spacing w:after="351" w:before="351" w:line="279" w:lineRule="auto"/>
        <w:rPr>
          <w:rFonts w:ascii="Aptos" w:cs="Aptos" w:eastAsia="Aptos" w:hAnsi="Aptos"/>
          <w:color w:val="0f4761"/>
        </w:rPr>
      </w:pPr>
      <w:r w:rsidDel="00000000" w:rsidR="00000000" w:rsidRPr="00000000">
        <w:rPr>
          <w:rFonts w:ascii="Aptos" w:cs="Aptos" w:eastAsia="Aptos" w:hAnsi="Aptos"/>
          <w:b w:val="1"/>
          <w:color w:val="0f4761"/>
          <w:sz w:val="35"/>
          <w:szCs w:val="35"/>
          <w:rtl w:val="0"/>
        </w:rPr>
        <w:t xml:space="preserve">2. Disease List &amp; Individual Contributions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300" w:before="300" w:line="279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Specialty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: Endocrinology</w:t>
      </w:r>
    </w:p>
    <w:tbl>
      <w:tblPr>
        <w:tblStyle w:val="Table1"/>
        <w:tblW w:w="8746.0" w:type="dxa"/>
        <w:jc w:val="left"/>
        <w:tblLayout w:type="fixed"/>
        <w:tblLook w:val="0600"/>
      </w:tblPr>
      <w:tblGrid>
        <w:gridCol w:w="5363"/>
        <w:gridCol w:w="3383"/>
        <w:tblGridChange w:id="0">
          <w:tblGrid>
            <w:gridCol w:w="5363"/>
            <w:gridCol w:w="3383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79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Diseases/Conditions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79" w:lineRule="auto"/>
              <w:jc w:val="center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4"/>
                <w:szCs w:val="24"/>
                <w:rtl w:val="0"/>
              </w:rPr>
              <w:t xml:space="preserve">Team Member Assigned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.8227539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279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Atrial Septal Defect (ASD),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279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    Sharon-Rose El, Shirley Jackreece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79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Ventricular Septal Defect (VSD),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79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279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Tetralogy of Fallot,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279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279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Coarctation of the Aorta,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279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279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Transposition of the Great Arteries (TGA), </w:t>
            </w:r>
          </w:p>
          <w:p w:rsidR="00000000" w:rsidDel="00000000" w:rsidP="00000000" w:rsidRDefault="00000000" w:rsidRPr="00000000" w14:paraId="00000030">
            <w:pPr>
              <w:spacing w:line="279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Pulmonary Stenosis, Tricuspid atresia,</w:t>
            </w:r>
          </w:p>
          <w:p w:rsidR="00000000" w:rsidDel="00000000" w:rsidP="00000000" w:rsidRDefault="00000000" w:rsidRPr="00000000" w14:paraId="00000031">
            <w:pPr>
              <w:spacing w:line="279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Hypoplastic left heart syndrome, </w:t>
            </w:r>
          </w:p>
          <w:p w:rsidR="00000000" w:rsidDel="00000000" w:rsidP="00000000" w:rsidRDefault="00000000" w:rsidRPr="00000000" w14:paraId="00000032">
            <w:pPr>
              <w:spacing w:line="279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Total Anomalous Pulmonary Venous Return (TAPVR), Truncus arteriosus, Coarctation aorta, Single ventricle defects, Pulmonary valve stenosis, Bicuspid aortic valve, Double outlet right Ventricle, Hypertensive heart failure,</w:t>
            </w:r>
          </w:p>
          <w:p w:rsidR="00000000" w:rsidDel="00000000" w:rsidP="00000000" w:rsidRDefault="00000000" w:rsidRPr="00000000" w14:paraId="00000033">
            <w:pPr>
              <w:spacing w:line="279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Hypertensive heart disease, Hypertensive crisis,</w:t>
            </w:r>
          </w:p>
          <w:p w:rsidR="00000000" w:rsidDel="00000000" w:rsidP="00000000" w:rsidRDefault="00000000" w:rsidRPr="00000000" w14:paraId="00000034">
            <w:pPr>
              <w:spacing w:line="279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Heart murmur, Myocardial infarction,</w:t>
            </w:r>
          </w:p>
          <w:p w:rsidR="00000000" w:rsidDel="00000000" w:rsidP="00000000" w:rsidRDefault="00000000" w:rsidRPr="00000000" w14:paraId="00000035">
            <w:pPr>
              <w:spacing w:line="279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Rheumatic heart disease</w:t>
            </w:r>
          </w:p>
          <w:p w:rsidR="00000000" w:rsidDel="00000000" w:rsidP="00000000" w:rsidRDefault="00000000" w:rsidRPr="00000000" w14:paraId="00000036">
            <w:pPr>
              <w:spacing w:line="279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79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79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79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79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279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3"/>
        <w:spacing w:before="160" w:line="279" w:lineRule="auto"/>
        <w:rPr>
          <w:rFonts w:ascii="Aptos" w:cs="Aptos" w:eastAsia="Aptos" w:hAnsi="Aptos"/>
          <w:color w:val="0f4761"/>
        </w:rPr>
      </w:pPr>
      <w:r w:rsidDel="00000000" w:rsidR="00000000" w:rsidRPr="00000000">
        <w:rPr>
          <w:rFonts w:ascii="Aptos" w:cs="Aptos" w:eastAsia="Aptos" w:hAnsi="Aptos"/>
          <w:b w:val="1"/>
          <w:color w:val="0f4761"/>
          <w:sz w:val="35"/>
          <w:szCs w:val="35"/>
          <w:rtl w:val="0"/>
        </w:rPr>
        <w:t xml:space="preserve">3. Submission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before="300" w:line="279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Deadline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: May 16, 2025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ptos"/>
  <w:font w:name="Arial Round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