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735F8284" w14:textId="02D445CE" w:rsidR="000070D8" w:rsidRDefault="000070D8" w:rsidP="000070D8">
      <w:r>
        <w:t>Bring a CapCut glitter effect into DaVinci Resolve and blend it perfectly using simple color and opacity adjustments. A fast, fun workflow that adds sparkle to any project.</w:t>
      </w:r>
    </w:p>
    <w:p w14:paraId="09638F23" w14:textId="07366DB9" w:rsidR="000070D8" w:rsidRDefault="000070D8" w:rsidP="000070D8">
      <w:r>
        <w:t>So, if you would like to know just a bit more about this, then why don’t you join us for this week’s article entitled:</w:t>
      </w:r>
    </w:p>
    <w:p w14:paraId="235244EA" w14:textId="34C4AD5C" w:rsidR="000070D8" w:rsidRPr="000070D8" w:rsidRDefault="000070D8" w:rsidP="000070D8">
      <w:pPr>
        <w:pStyle w:val="Heading1"/>
      </w:pPr>
      <w:r w:rsidRPr="000070D8">
        <w:t>13 CapCut Glitter Effect in DaVinci Resolve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070D8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3F167B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2026-05-30T15:36:00Z</dcterms:modified>
</cp:coreProperties>
</file>