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F46B" w14:textId="0F8C4D76" w:rsidR="00861CCB" w:rsidRDefault="00C75F7D" w:rsidP="003A395D">
      <w:pPr>
        <w:pStyle w:val="Title"/>
      </w:pPr>
      <w:r>
        <w:t>Write Up</w:t>
      </w:r>
    </w:p>
    <w:p w14:paraId="68E3B2D1" w14:textId="1D202AEA" w:rsidR="00004791" w:rsidRDefault="00004791" w:rsidP="00004791">
      <w:r>
        <w:t>This week, we will be taking a look at part two of the submenu. This section deals with Transform Orientation, the pivot point, and snapping. Having this stuff in an easy reach menu makes things a whole lot easier when modeling in 3D.</w:t>
      </w:r>
    </w:p>
    <w:p w14:paraId="08E8314A" w14:textId="299A1422" w:rsidR="00004791" w:rsidRDefault="00004791" w:rsidP="00004791">
      <w:r>
        <w:t>So, if this sounds at all interesting to you then please join us for this week’s article entitled:</w:t>
      </w:r>
    </w:p>
    <w:p w14:paraId="6F48DE3B" w14:textId="43D80897" w:rsidR="00004791" w:rsidRPr="00004791" w:rsidRDefault="00004791" w:rsidP="00004791">
      <w:pPr>
        <w:pStyle w:val="Heading1"/>
      </w:pPr>
      <w:r>
        <w:t>4 The Sub Menu Part 2</w:t>
      </w:r>
    </w:p>
    <w:sectPr w:rsidR="00004791" w:rsidRPr="0000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D"/>
    <w:rsid w:val="00004791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A395D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6451F"/>
    <w:rsid w:val="00B92FEF"/>
    <w:rsid w:val="00BF255D"/>
    <w:rsid w:val="00BF4B06"/>
    <w:rsid w:val="00C475EF"/>
    <w:rsid w:val="00C75F7D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A0AA"/>
  <w15:chartTrackingRefBased/>
  <w15:docId w15:val="{944C12B6-1019-4EC0-8D92-DB931F5E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2024-12-20T18:24:00Z</dcterms:created>
  <dcterms:modified xsi:type="dcterms:W3CDTF">2024-12-24T18:29:00Z</dcterms:modified>
</cp:coreProperties>
</file>