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F9440">
      <w:pPr>
        <w:jc w:val="center"/>
      </w:pPr>
      <w:r>
        <w:rPr>
          <w:rFonts w:ascii="微软雅黑" w:hAnsi="微软雅黑" w:eastAsia="微软雅黑"/>
          <w:b/>
          <w:sz w:val="32"/>
        </w:rPr>
        <w:t>城市洪涝灾害智能救援系统</w:t>
      </w:r>
    </w:p>
    <w:p w14:paraId="783520C7">
      <w:pPr>
        <w:jc w:val="center"/>
      </w:pPr>
      <w:r>
        <w:rPr>
          <w:rFonts w:ascii="微软雅黑" w:hAnsi="微软雅黑" w:eastAsia="微软雅黑"/>
          <w:b/>
          <w:sz w:val="24"/>
        </w:rPr>
        <w:t>文献阅读笔记——子方向：城市洪涝与应急救援需求</w:t>
      </w:r>
    </w:p>
    <w:p w14:paraId="7A8D483B">
      <w:pPr>
        <w:jc w:val="left"/>
      </w:pPr>
      <w:r>
        <w:rPr>
          <w:rFonts w:ascii="Times New Roman" w:hAnsi="Times New Roman" w:eastAsia="宋体"/>
          <w:b w:val="0"/>
          <w:sz w:val="21"/>
        </w:rPr>
        <w:t>课程：未来工程创新设计</w:t>
      </w:r>
    </w:p>
    <w:p w14:paraId="5AC3DC3E">
      <w:pPr>
        <w:jc w:val="left"/>
      </w:pPr>
      <w:r>
        <w:rPr>
          <w:rFonts w:ascii="Times New Roman" w:hAnsi="Times New Roman" w:eastAsia="宋体"/>
          <w:b w:val="0"/>
          <w:sz w:val="21"/>
        </w:rPr>
        <w:t>整理日期：2026-09-01</w:t>
      </w:r>
      <w:bookmarkStart w:id="0" w:name="_GoBack"/>
      <w:bookmarkEnd w:id="0"/>
    </w:p>
    <w:p w14:paraId="76A4DA44">
      <w:pPr>
        <w:jc w:val="left"/>
      </w:pPr>
      <w:r>
        <w:rPr>
          <w:rFonts w:ascii="微软雅黑" w:hAnsi="微软雅黑" w:eastAsia="微软雅黑"/>
          <w:b/>
          <w:sz w:val="26"/>
        </w:rPr>
        <w:t>第 1 篇 · 城市暴雨积涝灾害风险突增效应研究进展</w:t>
      </w:r>
    </w:p>
    <w:p w14:paraId="66A6641C">
      <w:pPr>
        <w:jc w:val="left"/>
      </w:pPr>
      <w:r>
        <w:rPr>
          <w:rFonts w:ascii="微软雅黑" w:hAnsi="微软雅黑" w:eastAsia="微软雅黑"/>
          <w:b/>
          <w:sz w:val="22"/>
        </w:rPr>
        <w:t>【一、文献信息】</w:t>
      </w:r>
    </w:p>
    <w:p w14:paraId="3E2EBA78">
      <w:pPr>
        <w:jc w:val="left"/>
      </w:pPr>
      <w:r>
        <w:rPr>
          <w:rFonts w:ascii="Times New Roman" w:hAnsi="Times New Roman" w:eastAsia="宋体"/>
          <w:b w:val="0"/>
          <w:sz w:val="21"/>
        </w:rPr>
        <w:t>扈海波. 城市暴雨积涝灾害风险突增效应研究进展[J]. 地理科学进展, 2016, 35(9): 1075-1086. DOI: 10.18306/dlkxjz.2016.09.003.</w:t>
      </w:r>
    </w:p>
    <w:p w14:paraId="2A220472">
      <w:pPr>
        <w:jc w:val="left"/>
      </w:pPr>
      <w:r>
        <w:rPr>
          <w:rFonts w:ascii="Times New Roman" w:hAnsi="Times New Roman" w:eastAsia="宋体"/>
          <w:b w:val="0"/>
          <w:sz w:val="21"/>
        </w:rPr>
        <w:t>中文题名：城市暴雨积涝灾害风险突增效应研究进展；检索数据库：Crossref / CNKI（万方）</w:t>
      </w:r>
    </w:p>
    <w:p w14:paraId="23E4C5D8">
      <w:pPr>
        <w:jc w:val="left"/>
      </w:pPr>
      <w:r>
        <w:rPr>
          <w:rFonts w:ascii="微软雅黑" w:hAnsi="微软雅黑" w:eastAsia="微软雅黑"/>
          <w:b/>
          <w:sz w:val="22"/>
        </w:rPr>
        <w:t>【二、核心观点摘要】</w:t>
      </w:r>
    </w:p>
    <w:p w14:paraId="4725E8AF">
      <w:pPr>
        <w:jc w:val="left"/>
      </w:pPr>
      <w:r>
        <w:rPr>
          <w:rFonts w:ascii="Times New Roman" w:hAnsi="Times New Roman" w:eastAsia="宋体"/>
          <w:b w:val="0"/>
          <w:sz w:val="21"/>
        </w:rPr>
        <w:t>· 系统论述城市暴雨积涝灾害的“风险突增效应”：极端降雨与高密度城市化因素叠加，使城市内涝损失可能呈非线性骤增，传统基于平均态的风险评估方法难以刻画这种突变特征。</w:t>
      </w:r>
    </w:p>
    <w:p w14:paraId="7F19ED73">
      <w:pPr>
        <w:jc w:val="left"/>
      </w:pPr>
      <w:r>
        <w:rPr>
          <w:rFonts w:ascii="Times New Roman" w:hAnsi="Times New Roman" w:eastAsia="宋体"/>
          <w:b w:val="0"/>
          <w:sz w:val="21"/>
        </w:rPr>
        <w:t>· 从致灾危险性、承灾体暴露度与脆弱性等角度梳理风险评估要素，并归纳情景模拟、指标体系、统计建模等主要评估方法及其适用条件。</w:t>
      </w:r>
    </w:p>
    <w:p w14:paraId="2C569137">
      <w:pPr>
        <w:jc w:val="left"/>
      </w:pPr>
      <w:r>
        <w:rPr>
          <w:rFonts w:ascii="Times New Roman" w:hAnsi="Times New Roman" w:eastAsia="宋体"/>
          <w:b w:val="0"/>
          <w:sz w:val="21"/>
        </w:rPr>
        <w:t>· 提出应融合气象、水文、地表承灾体等多源信息开展动态风险区划，识别风险突增的临界条件，为内涝监测预警和应急决策提供科学依据。</w:t>
      </w:r>
    </w:p>
    <w:p w14:paraId="05DC973B">
      <w:pPr>
        <w:jc w:val="left"/>
      </w:pPr>
      <w:r>
        <w:rPr>
          <w:rFonts w:ascii="微软雅黑" w:hAnsi="微软雅黑" w:eastAsia="微软雅黑"/>
          <w:b/>
          <w:sz w:val="22"/>
        </w:rPr>
        <w:t>【三、对设计的启发】</w:t>
      </w:r>
    </w:p>
    <w:p w14:paraId="3026BEFF">
      <w:pPr>
        <w:jc w:val="left"/>
      </w:pPr>
      <w:r>
        <w:rPr>
          <w:rFonts w:ascii="Times New Roman" w:hAnsi="Times New Roman" w:eastAsia="宋体"/>
          <w:b w:val="0"/>
          <w:sz w:val="21"/>
        </w:rPr>
        <w:t>· 系统应采用“情景式动态风险评估”，而非仅依据历史积水点，提前标记暴雨中可能发生风险突增的低洼路段、地下空间与下穿隧道。</w:t>
      </w:r>
    </w:p>
    <w:p w14:paraId="0DFEF448">
      <w:pPr>
        <w:jc w:val="left"/>
      </w:pPr>
      <w:r>
        <w:rPr>
          <w:rFonts w:ascii="Times New Roman" w:hAnsi="Times New Roman" w:eastAsia="宋体"/>
          <w:b w:val="0"/>
          <w:sz w:val="21"/>
        </w:rPr>
        <w:t>· 把气象预报—水文积水—承灾体暴露多源数据接入风险分级模型，支撑从监测报警到启动救援的分级响应。</w:t>
      </w:r>
    </w:p>
    <w:p w14:paraId="424202FA">
      <w:pPr>
        <w:jc w:val="left"/>
      </w:pPr>
      <w:r>
        <w:rPr>
          <w:rFonts w:ascii="Times New Roman" w:hAnsi="Times New Roman" w:eastAsia="宋体"/>
          <w:b w:val="0"/>
          <w:sz w:val="21"/>
        </w:rPr>
        <w:t>· 在预警阈值与调度算法中引入风险突增临界点及不确定性提示，避免误判“看起来不严重的积水点”。</w:t>
      </w:r>
    </w:p>
    <w:p w14:paraId="5B0B8641">
      <w:pPr>
        <w:jc w:val="left"/>
      </w:pPr>
      <w:r>
        <w:rPr>
          <w:rFonts w:ascii="微软雅黑" w:hAnsi="微软雅黑" w:eastAsia="微软雅黑"/>
          <w:b/>
          <w:sz w:val="26"/>
        </w:rPr>
        <w:t>第 2 篇 · 关键基础设施与级联灾害的脆弱性路径</w:t>
      </w:r>
    </w:p>
    <w:p w14:paraId="4D3B056C">
      <w:pPr>
        <w:jc w:val="left"/>
      </w:pPr>
      <w:r>
        <w:rPr>
          <w:rFonts w:ascii="微软雅黑" w:hAnsi="微软雅黑" w:eastAsia="微软雅黑"/>
          <w:b/>
          <w:sz w:val="22"/>
        </w:rPr>
        <w:t>【一、文献信息】</w:t>
      </w:r>
    </w:p>
    <w:p w14:paraId="773AB0C4">
      <w:pPr>
        <w:jc w:val="left"/>
      </w:pPr>
      <w:r>
        <w:rPr>
          <w:rFonts w:ascii="Times New Roman" w:hAnsi="Times New Roman" w:eastAsia="宋体"/>
          <w:b w:val="0"/>
          <w:sz w:val="21"/>
        </w:rPr>
        <w:t>Pescaroli G., Alexander D. (2016). Critical infrastructure, panarchies and the vulnerability paths of cascading disasters. Natural Hazards, 82(1): 175-192. DOI: 10.1007/s11069-016-2186-3.</w:t>
      </w:r>
    </w:p>
    <w:p w14:paraId="11DC82A7">
      <w:pPr>
        <w:jc w:val="left"/>
      </w:pPr>
      <w:r>
        <w:rPr>
          <w:rFonts w:ascii="Times New Roman" w:hAnsi="Times New Roman" w:eastAsia="宋体"/>
          <w:b w:val="0"/>
          <w:sz w:val="21"/>
        </w:rPr>
        <w:t>中文题名：关键基础设施与级联灾害的脆弱性路径；检索数据库：OpenAlex / Crossref</w:t>
      </w:r>
    </w:p>
    <w:p w14:paraId="7A8B684F">
      <w:pPr>
        <w:jc w:val="left"/>
      </w:pPr>
      <w:r>
        <w:rPr>
          <w:rFonts w:ascii="微软雅黑" w:hAnsi="微软雅黑" w:eastAsia="微软雅黑"/>
          <w:b/>
          <w:sz w:val="22"/>
        </w:rPr>
        <w:t>【二、核心观点摘要】</w:t>
      </w:r>
    </w:p>
    <w:p w14:paraId="2C058D1B">
      <w:pPr>
        <w:jc w:val="left"/>
      </w:pPr>
      <w:r>
        <w:rPr>
          <w:rFonts w:ascii="Times New Roman" w:hAnsi="Times New Roman" w:eastAsia="宋体"/>
          <w:b w:val="0"/>
          <w:sz w:val="21"/>
        </w:rPr>
        <w:t>· 提出关键基础设施的级联失效不是简单的“多米诺骨牌”，而是受社会反馈回路与系统脆弱性共同驱动的级联路径。</w:t>
      </w:r>
    </w:p>
    <w:p w14:paraId="2EAF6B8F">
      <w:pPr>
        <w:jc w:val="left"/>
      </w:pPr>
      <w:r>
        <w:rPr>
          <w:rFonts w:ascii="Times New Roman" w:hAnsi="Times New Roman" w:eastAsia="宋体"/>
          <w:b w:val="0"/>
          <w:sz w:val="21"/>
        </w:rPr>
        <w:t>· 城市功能网络（电力、通信、交通、供排水）高度互依，一处失效会沿依赖关系快速放大，放大点往往在互依节点与升级点。</w:t>
      </w:r>
    </w:p>
    <w:p w14:paraId="38226C9C">
      <w:pPr>
        <w:jc w:val="left"/>
      </w:pPr>
      <w:r>
        <w:rPr>
          <w:rFonts w:ascii="Times New Roman" w:hAnsi="Times New Roman" w:eastAsia="宋体"/>
          <w:b w:val="0"/>
          <w:sz w:val="21"/>
        </w:rPr>
        <w:t>· 主张在备灾阶段引入“升级点”和“社会节点”概念，把基础设施脆弱性作为事件演化的方向性变量。</w:t>
      </w:r>
    </w:p>
    <w:p w14:paraId="079B550B">
      <w:pPr>
        <w:jc w:val="left"/>
      </w:pPr>
      <w:r>
        <w:rPr>
          <w:rFonts w:ascii="微软雅黑" w:hAnsi="微软雅黑" w:eastAsia="微软雅黑"/>
          <w:b/>
          <w:sz w:val="22"/>
        </w:rPr>
        <w:t>【三、对设计的启发】</w:t>
      </w:r>
    </w:p>
    <w:p w14:paraId="095B8CB3">
      <w:pPr>
        <w:jc w:val="left"/>
      </w:pPr>
      <w:r>
        <w:rPr>
          <w:rFonts w:ascii="Times New Roman" w:hAnsi="Times New Roman" w:eastAsia="宋体"/>
          <w:b w:val="0"/>
          <w:sz w:val="21"/>
        </w:rPr>
        <w:t>· 系统应建模基础设施依赖网络（电—通信—排水—交通），在洪涝预警阶段预判“最先失效”设施并推送救援资源。</w:t>
      </w:r>
    </w:p>
    <w:p w14:paraId="0DA13912">
      <w:pPr>
        <w:jc w:val="left"/>
      </w:pPr>
      <w:r>
        <w:rPr>
          <w:rFonts w:ascii="Times New Roman" w:hAnsi="Times New Roman" w:eastAsia="宋体"/>
          <w:b w:val="0"/>
          <w:sz w:val="21"/>
        </w:rPr>
        <w:t>· 把“升级点”（如变电站、通信基站、泵站、地铁入口）作为重点监测与先期处置对象。</w:t>
      </w:r>
    </w:p>
    <w:p w14:paraId="65EC74B3">
      <w:pPr>
        <w:jc w:val="left"/>
      </w:pPr>
      <w:r>
        <w:rPr>
          <w:rFonts w:ascii="Times New Roman" w:hAnsi="Times New Roman" w:eastAsia="宋体"/>
          <w:b w:val="0"/>
          <w:sz w:val="21"/>
        </w:rPr>
        <w:t>· 救援路径规划需考虑基础设施级联状态，避免救援力量依赖已中断的道路/通信。</w:t>
      </w:r>
    </w:p>
    <w:p w14:paraId="2E8B8006">
      <w:pPr>
        <w:jc w:val="left"/>
      </w:pPr>
      <w:r>
        <w:rPr>
          <w:rFonts w:ascii="微软雅黑" w:hAnsi="微软雅黑" w:eastAsia="微软雅黑"/>
          <w:b/>
          <w:sz w:val="26"/>
        </w:rPr>
        <w:t>第 3 篇 · 关键基础设施与洪涝韧性：超越水体本身的级联效应</w:t>
      </w:r>
    </w:p>
    <w:p w14:paraId="2315466F">
      <w:pPr>
        <w:jc w:val="left"/>
      </w:pPr>
      <w:r>
        <w:rPr>
          <w:rFonts w:ascii="微软雅黑" w:hAnsi="微软雅黑" w:eastAsia="微软雅黑"/>
          <w:b/>
          <w:sz w:val="22"/>
        </w:rPr>
        <w:t>【一、文献信息】</w:t>
      </w:r>
    </w:p>
    <w:p w14:paraId="37D45195">
      <w:pPr>
        <w:jc w:val="left"/>
      </w:pPr>
      <w:r>
        <w:rPr>
          <w:rFonts w:ascii="Times New Roman" w:hAnsi="Times New Roman" w:eastAsia="宋体"/>
          <w:b w:val="0"/>
          <w:sz w:val="21"/>
        </w:rPr>
        <w:t>Fekete A. (2019). Critical infrastructure and flood resilience: Cascading effects beyond water. WIREs Water, 6(5): e1370. DOI: 10.1002/wat2.1370.</w:t>
      </w:r>
    </w:p>
    <w:p w14:paraId="053C7A19">
      <w:pPr>
        <w:jc w:val="left"/>
      </w:pPr>
      <w:r>
        <w:rPr>
          <w:rFonts w:ascii="Times New Roman" w:hAnsi="Times New Roman" w:eastAsia="宋体"/>
          <w:b w:val="0"/>
          <w:sz w:val="21"/>
        </w:rPr>
        <w:t>中文题名：关键基础设施与洪涝韧性：超越水体本身的级联效应；检索数据库：OpenAlex / Crossref</w:t>
      </w:r>
    </w:p>
    <w:p w14:paraId="724E147A">
      <w:pPr>
        <w:jc w:val="left"/>
      </w:pPr>
      <w:r>
        <w:rPr>
          <w:rFonts w:ascii="微软雅黑" w:hAnsi="微软雅黑" w:eastAsia="微软雅黑"/>
          <w:b/>
          <w:sz w:val="22"/>
        </w:rPr>
        <w:t>【二、核心观点摘要】</w:t>
      </w:r>
    </w:p>
    <w:p w14:paraId="2C452388">
      <w:pPr>
        <w:jc w:val="left"/>
      </w:pPr>
      <w:r>
        <w:rPr>
          <w:rFonts w:ascii="Times New Roman" w:hAnsi="Times New Roman" w:eastAsia="宋体"/>
          <w:b w:val="0"/>
          <w:sz w:val="21"/>
        </w:rPr>
        <w:t>· 洪涝对城市的影响远超“被水淹没”本身，级联效应会经关键基础设施传导至电力、通信、医疗、交通等非直接涉水系统。</w:t>
      </w:r>
    </w:p>
    <w:p w14:paraId="27C544E6">
      <w:pPr>
        <w:jc w:val="left"/>
      </w:pPr>
      <w:r>
        <w:rPr>
          <w:rFonts w:ascii="Times New Roman" w:hAnsi="Times New Roman" w:eastAsia="宋体"/>
          <w:b w:val="0"/>
          <w:sz w:val="21"/>
        </w:rPr>
        <w:t>· 构建了把灾害风险、脆弱性、韧性与关键基础设施分析要素（冗余性、快速性、资源调动性）结合的概念框架，并映射到洪涝事件各阶段。</w:t>
      </w:r>
    </w:p>
    <w:p w14:paraId="5C86CEF9">
      <w:pPr>
        <w:jc w:val="left"/>
      </w:pPr>
      <w:r>
        <w:rPr>
          <w:rFonts w:ascii="Times New Roman" w:hAnsi="Times New Roman" w:eastAsia="宋体"/>
          <w:b w:val="0"/>
          <w:sz w:val="21"/>
        </w:rPr>
        <w:t>· 将城市基础设施韧性与仙台减灾框架、韧性城市等国际战略衔接，强调韧性须贯穿灾前—灾中—灾后全周期。</w:t>
      </w:r>
    </w:p>
    <w:p w14:paraId="71692C92">
      <w:pPr>
        <w:jc w:val="left"/>
      </w:pPr>
      <w:r>
        <w:rPr>
          <w:rFonts w:ascii="微软雅黑" w:hAnsi="微软雅黑" w:eastAsia="微软雅黑"/>
          <w:b/>
          <w:sz w:val="22"/>
        </w:rPr>
        <w:t>【三、对设计的启发】</w:t>
      </w:r>
    </w:p>
    <w:p w14:paraId="33A478B5">
      <w:pPr>
        <w:jc w:val="left"/>
      </w:pPr>
      <w:r>
        <w:rPr>
          <w:rFonts w:ascii="Times New Roman" w:hAnsi="Times New Roman" w:eastAsia="宋体"/>
          <w:b w:val="0"/>
          <w:sz w:val="21"/>
        </w:rPr>
        <w:t>· 设计应覆盖“涉水失效→电力中断→通信失联→救援受阻”的级联链，在系统架构上预设通信冗余与应急供电。</w:t>
      </w:r>
    </w:p>
    <w:p w14:paraId="19C4D622">
      <w:pPr>
        <w:jc w:val="left"/>
      </w:pPr>
      <w:r>
        <w:rPr>
          <w:rFonts w:ascii="Times New Roman" w:hAnsi="Times New Roman" w:eastAsia="宋体"/>
          <w:b w:val="0"/>
          <w:sz w:val="21"/>
        </w:rPr>
        <w:t>· 救援优先级不应只看积水深度，还应叠加关键设施级联影响，优先保障医院、泵站、通信枢纽周边。</w:t>
      </w:r>
    </w:p>
    <w:p w14:paraId="1303B8DC">
      <w:pPr>
        <w:jc w:val="left"/>
      </w:pPr>
      <w:r>
        <w:rPr>
          <w:rFonts w:ascii="Times New Roman" w:hAnsi="Times New Roman" w:eastAsia="宋体"/>
          <w:b w:val="0"/>
          <w:sz w:val="21"/>
        </w:rPr>
        <w:t>· 把冗余、快速、可调动的韧性指标转化为系统可度量的性能指标（如通信自组网恢复时间、备用电续航）。</w:t>
      </w:r>
    </w:p>
    <w:p w14:paraId="2046E969">
      <w:pPr>
        <w:jc w:val="left"/>
      </w:pPr>
      <w:r>
        <w:rPr>
          <w:rFonts w:ascii="微软雅黑" w:hAnsi="微软雅黑" w:eastAsia="微软雅黑"/>
          <w:b/>
          <w:sz w:val="26"/>
        </w:rPr>
        <w:t>第 4 篇 · 极端降雨与洪涝治理：郑州“7·20”特大暴雨案例研究</w:t>
      </w:r>
    </w:p>
    <w:p w14:paraId="2376690D">
      <w:pPr>
        <w:jc w:val="left"/>
      </w:pPr>
      <w:r>
        <w:rPr>
          <w:rFonts w:ascii="微软雅黑" w:hAnsi="微软雅黑" w:eastAsia="微软雅黑"/>
          <w:b/>
          <w:sz w:val="22"/>
        </w:rPr>
        <w:t>【一、文献信息】</w:t>
      </w:r>
    </w:p>
    <w:p w14:paraId="31CA68B3">
      <w:pPr>
        <w:jc w:val="left"/>
      </w:pPr>
      <w:r>
        <w:rPr>
          <w:rFonts w:ascii="Times New Roman" w:hAnsi="Times New Roman" w:eastAsia="宋体"/>
          <w:b w:val="0"/>
          <w:sz w:val="21"/>
        </w:rPr>
        <w:t>Zhao X., Li H., Cai Q., Pan Y., Qi Y. (2023). Managing Extreme Rainfall and Flooding Events: A Case Study of the 20 July 2021 Zhengzhou Flood in China. Climate, 11(11): 228. DOI: 10.3390/cli11110228.</w:t>
      </w:r>
    </w:p>
    <w:p w14:paraId="2BDA63B9">
      <w:pPr>
        <w:jc w:val="left"/>
      </w:pPr>
      <w:r>
        <w:rPr>
          <w:rFonts w:ascii="Times New Roman" w:hAnsi="Times New Roman" w:eastAsia="宋体"/>
          <w:b w:val="0"/>
          <w:sz w:val="21"/>
        </w:rPr>
        <w:t>中文题名：极端降雨与洪涝治理：郑州“7·20”特大暴雨案例研究；检索数据库：Crossref / OpenAlex</w:t>
      </w:r>
    </w:p>
    <w:p w14:paraId="5F3CC60C">
      <w:pPr>
        <w:jc w:val="left"/>
      </w:pPr>
      <w:r>
        <w:rPr>
          <w:rFonts w:ascii="微软雅黑" w:hAnsi="微软雅黑" w:eastAsia="微软雅黑"/>
          <w:b/>
          <w:sz w:val="22"/>
        </w:rPr>
        <w:t>【二、核心观点摘要】</w:t>
      </w:r>
    </w:p>
    <w:p w14:paraId="1197467B">
      <w:pPr>
        <w:jc w:val="left"/>
      </w:pPr>
      <w:r>
        <w:rPr>
          <w:rFonts w:ascii="Times New Roman" w:hAnsi="Times New Roman" w:eastAsia="宋体"/>
          <w:b w:val="0"/>
          <w:sz w:val="21"/>
        </w:rPr>
        <w:t>· 2021年7月20日郑州极端暴雨造成302人死亡，其中14人溺亡于地铁隧道、6人溺亡于道路隧道，暴露出内陆城市对极端降雨的风险认知不足。</w:t>
      </w:r>
    </w:p>
    <w:p w14:paraId="6A8FBEDE">
      <w:pPr>
        <w:jc w:val="left"/>
      </w:pPr>
      <w:r>
        <w:rPr>
          <w:rFonts w:ascii="Times New Roman" w:hAnsi="Times New Roman" w:eastAsia="宋体"/>
          <w:b w:val="0"/>
          <w:sz w:val="21"/>
        </w:rPr>
        <w:t>· 灾前准备与预防不足、风险沟通不畅、应急响应迟缓是主要治理短板，气象预警与应急响应未能同步衔接。</w:t>
      </w:r>
    </w:p>
    <w:p w14:paraId="4ABD41C8">
      <w:pPr>
        <w:jc w:val="left"/>
      </w:pPr>
      <w:r>
        <w:rPr>
          <w:rFonts w:ascii="Times New Roman" w:hAnsi="Times New Roman" w:eastAsia="宋体"/>
          <w:b w:val="0"/>
          <w:sz w:val="21"/>
        </w:rPr>
        <w:t>· 提出极端降雨正由“黑天鹅”转为“灰犀牛”：不再是小概率高影响，而是高概率高影响事件，城市必须更新风险认知。</w:t>
      </w:r>
    </w:p>
    <w:p w14:paraId="6B0598BB">
      <w:pPr>
        <w:jc w:val="left"/>
      </w:pPr>
      <w:r>
        <w:rPr>
          <w:rFonts w:ascii="微软雅黑" w:hAnsi="微软雅黑" w:eastAsia="微软雅黑"/>
          <w:b/>
          <w:sz w:val="22"/>
        </w:rPr>
        <w:t>【三、对设计的启发】</w:t>
      </w:r>
    </w:p>
    <w:p w14:paraId="16543F41">
      <w:pPr>
        <w:jc w:val="left"/>
      </w:pPr>
      <w:r>
        <w:rPr>
          <w:rFonts w:ascii="Times New Roman" w:hAnsi="Times New Roman" w:eastAsia="宋体"/>
          <w:b w:val="0"/>
          <w:sz w:val="21"/>
        </w:rPr>
        <w:t>· 地铁/道路隧道、下穿立交是城市洪涝中最高危的封闭空间，应列为系统最高优先级监测与疏散目标。</w:t>
      </w:r>
    </w:p>
    <w:p w14:paraId="60303608">
      <w:pPr>
        <w:jc w:val="left"/>
      </w:pPr>
      <w:r>
        <w:rPr>
          <w:rFonts w:ascii="Times New Roman" w:hAnsi="Times New Roman" w:eastAsia="宋体"/>
          <w:b w:val="0"/>
          <w:sz w:val="21"/>
        </w:rPr>
        <w:t>· 救援系统需与气象预警联动，在预警发布时自动进入预置位、预部署状态，缩短“预警—响应”时差。</w:t>
      </w:r>
    </w:p>
    <w:p w14:paraId="1190D10C">
      <w:pPr>
        <w:jc w:val="left"/>
      </w:pPr>
      <w:r>
        <w:rPr>
          <w:rFonts w:ascii="Times New Roman" w:hAnsi="Times New Roman" w:eastAsia="宋体"/>
          <w:b w:val="0"/>
          <w:sz w:val="21"/>
        </w:rPr>
        <w:t>· 针对人员被困的封闭空间，设计可快速投送的轻量化救援装备与通风/定位支持。</w:t>
      </w:r>
    </w:p>
    <w:p w14:paraId="320FA0AB">
      <w:pPr>
        <w:jc w:val="left"/>
      </w:pPr>
      <w:r>
        <w:rPr>
          <w:rFonts w:ascii="微软雅黑" w:hAnsi="微软雅黑" w:eastAsia="微软雅黑"/>
          <w:b/>
          <w:sz w:val="26"/>
        </w:rPr>
        <w:t>第 5 篇 · 洪涝灾害应急响应调查及其若干问题探讨</w:t>
      </w:r>
    </w:p>
    <w:p w14:paraId="528DA8FA">
      <w:pPr>
        <w:jc w:val="left"/>
      </w:pPr>
      <w:r>
        <w:rPr>
          <w:rFonts w:ascii="微软雅黑" w:hAnsi="微软雅黑" w:eastAsia="微软雅黑"/>
          <w:b/>
          <w:sz w:val="22"/>
        </w:rPr>
        <w:t>【一、文献信息】</w:t>
      </w:r>
    </w:p>
    <w:p w14:paraId="5207C676">
      <w:pPr>
        <w:jc w:val="left"/>
      </w:pPr>
      <w:r>
        <w:rPr>
          <w:rFonts w:ascii="Times New Roman" w:hAnsi="Times New Roman" w:eastAsia="宋体"/>
          <w:b w:val="0"/>
          <w:sz w:val="21"/>
        </w:rPr>
        <w:t>谭徐明, 马建明, 张念强. 洪涝灾害应急响应调查及其若干问题探讨[J]. 中国水利水电科学研究院学报, 2009, 7(3): 216-221. DOI: 10.3969/j.issn.1672-3031.2009.03.010.</w:t>
      </w:r>
    </w:p>
    <w:p w14:paraId="7B4B8D38">
      <w:pPr>
        <w:jc w:val="left"/>
      </w:pPr>
      <w:r>
        <w:rPr>
          <w:rFonts w:ascii="Times New Roman" w:hAnsi="Times New Roman" w:eastAsia="宋体"/>
          <w:b w:val="0"/>
          <w:sz w:val="21"/>
        </w:rPr>
        <w:t>中文题名：洪涝灾害应急响应调查及其若干问题探讨；检索数据库：CNKI / 万方数据 / 百度学术</w:t>
      </w:r>
    </w:p>
    <w:p w14:paraId="133B78DD">
      <w:pPr>
        <w:jc w:val="left"/>
      </w:pPr>
      <w:r>
        <w:rPr>
          <w:rFonts w:ascii="微软雅黑" w:hAnsi="微软雅黑" w:eastAsia="微软雅黑"/>
          <w:b/>
          <w:sz w:val="22"/>
        </w:rPr>
        <w:t>【二、核心观点摘要】</w:t>
      </w:r>
    </w:p>
    <w:p w14:paraId="37BED9C9">
      <w:pPr>
        <w:jc w:val="left"/>
      </w:pPr>
      <w:r>
        <w:rPr>
          <w:rFonts w:ascii="Times New Roman" w:hAnsi="Times New Roman" w:eastAsia="宋体"/>
          <w:b w:val="0"/>
          <w:sz w:val="21"/>
        </w:rPr>
        <w:t>· 通过梳理2002年以来的洪涝灾害应急响应案例指出：洪涝已成为21世纪以来启动应急响应最频繁的自然灾害，逐渐进入政府和主管部门的公共管理范畴。</w:t>
      </w:r>
    </w:p>
    <w:p w14:paraId="72529727">
      <w:pPr>
        <w:jc w:val="left"/>
      </w:pPr>
      <w:r>
        <w:rPr>
          <w:rFonts w:ascii="Times New Roman" w:hAnsi="Times New Roman" w:eastAsia="宋体"/>
          <w:b w:val="0"/>
          <w:sz w:val="21"/>
        </w:rPr>
        <w:t>· 分析发现洪涝应急管理存在上下级之间、部门之间，以及“启动”与“响应”两个层面职责不清、缺乏全过程有效管理等突出问题。</w:t>
      </w:r>
    </w:p>
    <w:p w14:paraId="2B868025">
      <w:pPr>
        <w:jc w:val="left"/>
      </w:pPr>
      <w:r>
        <w:rPr>
          <w:rFonts w:ascii="Times New Roman" w:hAnsi="Times New Roman" w:eastAsia="宋体"/>
          <w:b w:val="0"/>
          <w:sz w:val="21"/>
        </w:rPr>
        <w:t>· 提出应从理论层面厘清应急启动与响应的功能边界，健全分级响应与部门协同机制，压缩响应链条的时滞。</w:t>
      </w:r>
    </w:p>
    <w:p w14:paraId="280D0BE3">
      <w:pPr>
        <w:jc w:val="left"/>
      </w:pPr>
      <w:r>
        <w:rPr>
          <w:rFonts w:ascii="微软雅黑" w:hAnsi="微软雅黑" w:eastAsia="微软雅黑"/>
          <w:b/>
          <w:sz w:val="22"/>
        </w:rPr>
        <w:t>【三、对设计的启发】</w:t>
      </w:r>
    </w:p>
    <w:p w14:paraId="3BE1C303">
      <w:pPr>
        <w:jc w:val="left"/>
      </w:pPr>
      <w:r>
        <w:rPr>
          <w:rFonts w:ascii="Times New Roman" w:hAnsi="Times New Roman" w:eastAsia="宋体"/>
          <w:b w:val="0"/>
          <w:sz w:val="21"/>
        </w:rPr>
        <w:t>· 系统应显式区分“自动预警启动”与“现场响应处置”两级状态机，避免因职责不清而延误响应。</w:t>
      </w:r>
    </w:p>
    <w:p w14:paraId="75330CA4">
      <w:pPr>
        <w:jc w:val="left"/>
      </w:pPr>
      <w:r>
        <w:rPr>
          <w:rFonts w:ascii="Times New Roman" w:hAnsi="Times New Roman" w:eastAsia="宋体"/>
          <w:b w:val="0"/>
          <w:sz w:val="21"/>
        </w:rPr>
        <w:t>· 建立“启动—派单—到场—处置—恢复”全流程计时台账，将各环节耗时作为可度量的应急性能指标。</w:t>
      </w:r>
    </w:p>
    <w:p w14:paraId="6B37B39D">
      <w:pPr>
        <w:jc w:val="left"/>
      </w:pPr>
      <w:r>
        <w:rPr>
          <w:rFonts w:ascii="Times New Roman" w:hAnsi="Times New Roman" w:eastAsia="宋体"/>
          <w:b w:val="0"/>
          <w:sz w:val="21"/>
        </w:rPr>
        <w:t>· 分级响应的自动化程度应与预警等级挂钩，通过信息化打通水利、应急、交通等部门之间的协同断点。</w:t>
      </w:r>
    </w:p>
    <w:p w14:paraId="265ECFB9">
      <w:pPr>
        <w:jc w:val="left"/>
      </w:pPr>
      <w:r>
        <w:rPr>
          <w:rFonts w:ascii="微软雅黑" w:hAnsi="微软雅黑" w:eastAsia="微软雅黑"/>
          <w:b/>
          <w:sz w:val="26"/>
        </w:rPr>
        <w:t>第 6 篇 · 基于ABM的城市暴雨洪涝灾害应急疏散仿真研究</w:t>
      </w:r>
    </w:p>
    <w:p w14:paraId="775B1778">
      <w:pPr>
        <w:jc w:val="left"/>
      </w:pPr>
      <w:r>
        <w:rPr>
          <w:rFonts w:ascii="微软雅黑" w:hAnsi="微软雅黑" w:eastAsia="微软雅黑"/>
          <w:b/>
          <w:sz w:val="22"/>
        </w:rPr>
        <w:t>【一、文献信息】</w:t>
      </w:r>
    </w:p>
    <w:p w14:paraId="1A0D4FE1">
      <w:pPr>
        <w:jc w:val="left"/>
      </w:pPr>
      <w:r>
        <w:rPr>
          <w:rFonts w:ascii="Times New Roman" w:hAnsi="Times New Roman" w:eastAsia="宋体"/>
          <w:b w:val="0"/>
          <w:sz w:val="21"/>
        </w:rPr>
        <w:t>杨宇涵, 殷杰, 王丹丹, 刘宇凡, 陆逸, 张卫国, 许世远. 基于ABM的城市暴雨洪涝灾害应急疏散仿真研究——以河南郑州“7·20”特大暴雨洪涝灾害为例[J]. 中国科学：地球科学, 2023, 53(2): 267-276. DOI: 10.1360/sste-2022-0094.</w:t>
      </w:r>
    </w:p>
    <w:p w14:paraId="38B32669">
      <w:pPr>
        <w:jc w:val="left"/>
      </w:pPr>
      <w:r>
        <w:rPr>
          <w:rFonts w:ascii="Times New Roman" w:hAnsi="Times New Roman" w:eastAsia="宋体"/>
          <w:b w:val="0"/>
          <w:sz w:val="21"/>
        </w:rPr>
        <w:t>中文题名：基于ABM的城市暴雨洪涝灾害应急疏散仿真研究——以河南郑州“7·20”特大暴雨洪涝灾害为例；检索数据库：Crossref / CNKI</w:t>
      </w:r>
    </w:p>
    <w:p w14:paraId="3AD9AA74">
      <w:pPr>
        <w:jc w:val="left"/>
      </w:pPr>
      <w:r>
        <w:rPr>
          <w:rFonts w:ascii="微软雅黑" w:hAnsi="微软雅黑" w:eastAsia="微软雅黑"/>
          <w:b/>
          <w:sz w:val="22"/>
        </w:rPr>
        <w:t>【二、核心观点摘要】</w:t>
      </w:r>
    </w:p>
    <w:p w14:paraId="3E51CE37">
      <w:pPr>
        <w:jc w:val="left"/>
      </w:pPr>
      <w:r>
        <w:rPr>
          <w:rFonts w:ascii="Times New Roman" w:hAnsi="Times New Roman" w:eastAsia="宋体"/>
          <w:b w:val="0"/>
          <w:sz w:val="21"/>
        </w:rPr>
        <w:t>· 采用多智能体（ABM）建模方法，构建“降雨—积水—人员移动”耦合的城市暴雨洪涝应急疏散仿真框架，以郑州“7·20”特大暴雨为背景开展情景推演。</w:t>
      </w:r>
    </w:p>
    <w:p w14:paraId="7D140863">
      <w:pPr>
        <w:jc w:val="left"/>
      </w:pPr>
      <w:r>
        <w:rPr>
          <w:rFonts w:ascii="Times New Roman" w:hAnsi="Times New Roman" w:eastAsia="宋体"/>
          <w:b w:val="0"/>
          <w:sz w:val="21"/>
        </w:rPr>
        <w:t>· 通过仿真实现在动态积水与路网通行条件下对疏散行为、疏散效率与暴露风险的量化，识别疏散瓶颈和避难场所可达性不足的区域。</w:t>
      </w:r>
    </w:p>
    <w:p w14:paraId="02D3063E">
      <w:pPr>
        <w:jc w:val="left"/>
      </w:pPr>
      <w:r>
        <w:rPr>
          <w:rFonts w:ascii="Times New Roman" w:hAnsi="Times New Roman" w:eastAsia="宋体"/>
          <w:b w:val="0"/>
          <w:sz w:val="21"/>
        </w:rPr>
        <w:t>· 表明基于情景仿真的应急疏散评估可对不同方案进行比选，为城市洪涝疏散预案优化提供定量依据。</w:t>
      </w:r>
    </w:p>
    <w:p w14:paraId="0649BEF7">
      <w:pPr>
        <w:jc w:val="left"/>
      </w:pPr>
      <w:r>
        <w:rPr>
          <w:rFonts w:ascii="微软雅黑" w:hAnsi="微软雅黑" w:eastAsia="微软雅黑"/>
          <w:b/>
          <w:sz w:val="22"/>
        </w:rPr>
        <w:t>【三、对设计的启发】</w:t>
      </w:r>
    </w:p>
    <w:p w14:paraId="6A669BB0">
      <w:pPr>
        <w:jc w:val="left"/>
      </w:pPr>
      <w:r>
        <w:rPr>
          <w:rFonts w:ascii="Times New Roman" w:hAnsi="Times New Roman" w:eastAsia="宋体"/>
          <w:b w:val="0"/>
          <w:sz w:val="21"/>
        </w:rPr>
        <w:t>· 系统可集成疏散仿真引擎，将积水演进与人员移动结合，预判哪些区域的撤离会因积水封路而受阻。</w:t>
      </w:r>
    </w:p>
    <w:p w14:paraId="4C4AFF0C">
      <w:pPr>
        <w:jc w:val="left"/>
      </w:pPr>
      <w:r>
        <w:rPr>
          <w:rFonts w:ascii="Times New Roman" w:hAnsi="Times New Roman" w:eastAsia="宋体"/>
          <w:b w:val="0"/>
          <w:sz w:val="21"/>
        </w:rPr>
        <w:t>· 依据仿真瓶颈优化救援力量与避难场所配置，优先保障可达性差的社区和地下空间出入口。</w:t>
      </w:r>
    </w:p>
    <w:p w14:paraId="54560B50">
      <w:pPr>
        <w:jc w:val="left"/>
      </w:pPr>
      <w:r>
        <w:rPr>
          <w:rFonts w:ascii="Times New Roman" w:hAnsi="Times New Roman" w:eastAsia="宋体"/>
          <w:b w:val="0"/>
          <w:sz w:val="21"/>
        </w:rPr>
        <w:t>· 用情景推演支撑分级疏散决策：轻度积水组织引导撤离，重度积水提前强制转移，避免响应滞后。</w:t>
      </w:r>
    </w:p>
    <w:p w14:paraId="015CE8A9">
      <w:pPr>
        <w:jc w:val="left"/>
      </w:pPr>
      <w:r>
        <w:rPr>
          <w:rFonts w:ascii="微软雅黑" w:hAnsi="微软雅黑" w:eastAsia="微软雅黑"/>
          <w:b/>
          <w:sz w:val="26"/>
        </w:rPr>
        <w:t>第 7 篇 · 无人水面艇与微型无人机在飓风“威尔玛”灾害中的协同应用</w:t>
      </w:r>
    </w:p>
    <w:p w14:paraId="439E1574">
      <w:pPr>
        <w:jc w:val="left"/>
      </w:pPr>
      <w:r>
        <w:rPr>
          <w:rFonts w:ascii="微软雅黑" w:hAnsi="微软雅黑" w:eastAsia="微软雅黑"/>
          <w:b/>
          <w:sz w:val="22"/>
        </w:rPr>
        <w:t>【一、文献信息】</w:t>
      </w:r>
    </w:p>
    <w:p w14:paraId="127FFADD">
      <w:pPr>
        <w:jc w:val="left"/>
      </w:pPr>
      <w:r>
        <w:rPr>
          <w:rFonts w:ascii="Times New Roman" w:hAnsi="Times New Roman" w:eastAsia="宋体"/>
          <w:b w:val="0"/>
          <w:sz w:val="21"/>
        </w:rPr>
        <w:t>Murphy R. R., Steimle E., Griffin C., Cullins C., Hall M., Pratt K. (2008). Cooperative use of unmanned sea surface and micro aerial vehicles at Hurricane Wilma. Journal of Field Robotics, 25(3): 164-180. DOI: 10.1002/rob.20235.</w:t>
      </w:r>
    </w:p>
    <w:p w14:paraId="52256C2E">
      <w:pPr>
        <w:jc w:val="left"/>
      </w:pPr>
      <w:r>
        <w:rPr>
          <w:rFonts w:ascii="Times New Roman" w:hAnsi="Times New Roman" w:eastAsia="宋体"/>
          <w:b w:val="0"/>
          <w:sz w:val="21"/>
        </w:rPr>
        <w:t>中文题名：无人水面艇与微型无人机在飓风“威尔玛”灾害中的协同应用；检索数据库：OpenAlex / Crossref</w:t>
      </w:r>
    </w:p>
    <w:p w14:paraId="4C02B670">
      <w:pPr>
        <w:jc w:val="left"/>
      </w:pPr>
      <w:r>
        <w:rPr>
          <w:rFonts w:ascii="微软雅黑" w:hAnsi="微软雅黑" w:eastAsia="微软雅黑"/>
          <w:b/>
          <w:sz w:val="22"/>
        </w:rPr>
        <w:t>【二、核心观点摘要】</w:t>
      </w:r>
    </w:p>
    <w:p w14:paraId="72F8DE03">
      <w:pPr>
        <w:jc w:val="left"/>
      </w:pPr>
      <w:r>
        <w:rPr>
          <w:rFonts w:ascii="Times New Roman" w:hAnsi="Times New Roman" w:eastAsia="宋体"/>
          <w:b w:val="0"/>
          <w:sz w:val="21"/>
        </w:rPr>
        <w:t>· 2005年飓风“威尔玛”登陆佛罗里达后，南佛罗里达大学搜救机器人中心首次将无人水面艇（AEOS-1）与微型直升机联合部署，对登陆点附近14公里区域的建筑与水淹环境进行灾损侦察。</w:t>
      </w:r>
    </w:p>
    <w:p w14:paraId="00D29DB3">
      <w:pPr>
        <w:jc w:val="left"/>
      </w:pPr>
      <w:r>
        <w:rPr>
          <w:rFonts w:ascii="Times New Roman" w:hAnsi="Times New Roman" w:eastAsia="宋体"/>
          <w:b w:val="0"/>
          <w:sz w:val="21"/>
        </w:rPr>
        <w:t>· 无人水面平台可在人员难以或不应进入的浅水、漂浮物密集、结构受损水域开展探测，显著降低搜救人员风险并扩大覆盖范围。</w:t>
      </w:r>
    </w:p>
    <w:p w14:paraId="0875F248">
      <w:pPr>
        <w:jc w:val="left"/>
      </w:pPr>
      <w:r>
        <w:rPr>
          <w:rFonts w:ascii="Times New Roman" w:hAnsi="Times New Roman" w:eastAsia="宋体"/>
          <w:b w:val="0"/>
          <w:sz w:val="21"/>
        </w:rPr>
        <w:t>· 水面艇与空中平台协同，弥补单一平台视野与可及性的局限，为灾后快速态势评估提供实证先例。</w:t>
      </w:r>
    </w:p>
    <w:p w14:paraId="618561C0">
      <w:pPr>
        <w:jc w:val="left"/>
      </w:pPr>
      <w:r>
        <w:rPr>
          <w:rFonts w:ascii="微软雅黑" w:hAnsi="微软雅黑" w:eastAsia="微软雅黑"/>
          <w:b/>
          <w:sz w:val="22"/>
        </w:rPr>
        <w:t>【三、对设计的启发】</w:t>
      </w:r>
    </w:p>
    <w:p w14:paraId="2EFCA205">
      <w:pPr>
        <w:jc w:val="left"/>
      </w:pPr>
      <w:r>
        <w:rPr>
          <w:rFonts w:ascii="Times New Roman" w:hAnsi="Times New Roman" w:eastAsia="宋体"/>
          <w:b w:val="0"/>
          <w:sz w:val="21"/>
        </w:rPr>
        <w:t>· 无人船应优先用于：水深受限/漂浮物密集水域、污染与漏电风险水域、夜间低能见度环境，以及需要长时间持续值守的搜救任务。</w:t>
      </w:r>
    </w:p>
    <w:p w14:paraId="5F30E2B2">
      <w:pPr>
        <w:jc w:val="left"/>
      </w:pPr>
      <w:r>
        <w:rPr>
          <w:rFonts w:ascii="Times New Roman" w:hAnsi="Times New Roman" w:eastAsia="宋体"/>
          <w:b w:val="0"/>
          <w:sz w:val="21"/>
        </w:rPr>
        <w:t>· 采用“水面无人船 + 空中无人机”的异构协同架构，先由无人船/无人机快速建图定位，再引导有人力量精确施救。</w:t>
      </w:r>
    </w:p>
    <w:p w14:paraId="5B9815E2">
      <w:pPr>
        <w:jc w:val="left"/>
      </w:pPr>
      <w:r>
        <w:rPr>
          <w:rFonts w:ascii="Times New Roman" w:hAnsi="Times New Roman" w:eastAsia="宋体"/>
          <w:b w:val="0"/>
          <w:sz w:val="21"/>
        </w:rPr>
        <w:t>· 系统需支持在无地面通信网络时建立机—艇自组网链路，保障灾后“通信孤岛”中的态势回传。</w:t>
      </w:r>
    </w:p>
    <w:p w14:paraId="533F428B">
      <w:pPr>
        <w:jc w:val="left"/>
      </w:pPr>
      <w:r>
        <w:rPr>
          <w:rFonts w:ascii="微软雅黑" w:hAnsi="微软雅黑" w:eastAsia="微软雅黑"/>
          <w:b/>
          <w:sz w:val="26"/>
        </w:rPr>
        <w:t>第 8 篇 · 基于群体移动计算的无人机—无人艇协同海事搜救</w:t>
      </w:r>
    </w:p>
    <w:p w14:paraId="75547770">
      <w:pPr>
        <w:jc w:val="left"/>
      </w:pPr>
      <w:r>
        <w:rPr>
          <w:rFonts w:ascii="微软雅黑" w:hAnsi="微软雅黑" w:eastAsia="微软雅黑"/>
          <w:b/>
          <w:sz w:val="22"/>
        </w:rPr>
        <w:t>【一、文献信息】</w:t>
      </w:r>
    </w:p>
    <w:p w14:paraId="746D20D1">
      <w:pPr>
        <w:jc w:val="left"/>
      </w:pPr>
      <w:r>
        <w:rPr>
          <w:rFonts w:ascii="Times New Roman" w:hAnsi="Times New Roman" w:eastAsia="宋体"/>
          <w:b w:val="0"/>
          <w:sz w:val="21"/>
        </w:rPr>
        <w:t>Yang T., Jiang Z., Sun R., Cheng N., Feng H. (2020). Maritime Search and Rescue Based on Group Mobile Computing for Unmanned Aerial Vehicles and Unmanned Surface Vehicles. IEEE Transactions on Industrial Informatics, 16(12): 7700-7708. DOI: 10.1109/TII.2020.2974047.</w:t>
      </w:r>
    </w:p>
    <w:p w14:paraId="6161210A">
      <w:pPr>
        <w:jc w:val="left"/>
      </w:pPr>
      <w:r>
        <w:rPr>
          <w:rFonts w:ascii="Times New Roman" w:hAnsi="Times New Roman" w:eastAsia="宋体"/>
          <w:b w:val="0"/>
          <w:sz w:val="21"/>
        </w:rPr>
        <w:t>中文题名：基于群体移动计算的无人机—无人艇协同海事搜救；检索数据库：Crossref / OpenAlex</w:t>
      </w:r>
    </w:p>
    <w:p w14:paraId="00B318DB">
      <w:pPr>
        <w:jc w:val="left"/>
      </w:pPr>
      <w:r>
        <w:rPr>
          <w:rFonts w:ascii="微软雅黑" w:hAnsi="微软雅黑" w:eastAsia="微软雅黑"/>
          <w:b/>
          <w:sz w:val="22"/>
        </w:rPr>
        <w:t>【二、核心观点摘要】</w:t>
      </w:r>
    </w:p>
    <w:p w14:paraId="4E7C9401">
      <w:pPr>
        <w:jc w:val="left"/>
      </w:pPr>
      <w:r>
        <w:rPr>
          <w:rFonts w:ascii="Times New Roman" w:hAnsi="Times New Roman" w:eastAsia="宋体"/>
          <w:b w:val="0"/>
          <w:sz w:val="21"/>
        </w:rPr>
        <w:t>· 针对传统大型搜救装备效率低、通信链路不稳定问题，提出由无人机（UAV）与无人艇（USV）组成认知移动计算网络开展协同搜救。</w:t>
      </w:r>
    </w:p>
    <w:p w14:paraId="6DD37F92">
      <w:pPr>
        <w:jc w:val="left"/>
      </w:pPr>
      <w:r>
        <w:rPr>
          <w:rFonts w:ascii="Times New Roman" w:hAnsi="Times New Roman" w:eastAsia="宋体"/>
          <w:b w:val="0"/>
          <w:sz w:val="21"/>
        </w:rPr>
        <w:t>· 用网格法对搜救海域建模，基于马尔可夫决策过程与强化学习规划搜索路径，并设计UAV—USV组内通信架构识别链路状态、优化吞吐量。</w:t>
      </w:r>
    </w:p>
    <w:p w14:paraId="4C57414B">
      <w:pPr>
        <w:jc w:val="left"/>
      </w:pPr>
      <w:r>
        <w:rPr>
          <w:rFonts w:ascii="Times New Roman" w:hAnsi="Times New Roman" w:eastAsia="宋体"/>
          <w:b w:val="0"/>
          <w:sz w:val="21"/>
        </w:rPr>
        <w:t>· 仿真表明，强化学习路径规划在同等无人机辅助通信条件下，可获得比传统方法更好的通信吞吐与任务完成度。</w:t>
      </w:r>
    </w:p>
    <w:p w14:paraId="071E7BB0">
      <w:pPr>
        <w:jc w:val="left"/>
      </w:pPr>
      <w:r>
        <w:rPr>
          <w:rFonts w:ascii="微软雅黑" w:hAnsi="微软雅黑" w:eastAsia="微软雅黑"/>
          <w:b/>
          <w:sz w:val="22"/>
        </w:rPr>
        <w:t>【三、对设计的启发】</w:t>
      </w:r>
    </w:p>
    <w:p w14:paraId="78220C15">
      <w:pPr>
        <w:jc w:val="left"/>
      </w:pPr>
      <w:r>
        <w:rPr>
          <w:rFonts w:ascii="Times New Roman" w:hAnsi="Times New Roman" w:eastAsia="宋体"/>
          <w:b w:val="0"/>
          <w:sz w:val="21"/>
        </w:rPr>
        <w:t>· 系统可采用“无人艇执行水面搜救 + 无人机提供中继通信与俯瞰定位”的协同模式，应对城市洪涝中的通信中断与复杂地形。</w:t>
      </w:r>
    </w:p>
    <w:p w14:paraId="343C55B9">
      <w:pPr>
        <w:jc w:val="left"/>
      </w:pPr>
      <w:r>
        <w:rPr>
          <w:rFonts w:ascii="Times New Roman" w:hAnsi="Times New Roman" w:eastAsia="宋体"/>
          <w:b w:val="0"/>
          <w:sz w:val="21"/>
        </w:rPr>
        <w:t>· 强化学习路径规划可直接移植到城市积水路网/水网的动态搜救路径优化中，实时绕开障碍与断点。</w:t>
      </w:r>
    </w:p>
    <w:p w14:paraId="3A2B35A1">
      <w:pPr>
        <w:jc w:val="left"/>
      </w:pPr>
      <w:r>
        <w:rPr>
          <w:rFonts w:ascii="Times New Roman" w:hAnsi="Times New Roman" w:eastAsia="宋体"/>
          <w:b w:val="0"/>
          <w:sz w:val="21"/>
        </w:rPr>
        <w:t>· 通信能力是无人平台集群的关键约束，设计时应把“通信覆盖与吞吐”作为与“路径规划”并列的优化目标。</w:t>
      </w:r>
    </w:p>
    <w:p w14:paraId="6D0E4C36">
      <w:pPr>
        <w:jc w:val="left"/>
      </w:pPr>
      <w:r>
        <w:rPr>
          <w:rFonts w:ascii="微软雅黑" w:hAnsi="微软雅黑" w:eastAsia="微软雅黑"/>
          <w:b/>
          <w:sz w:val="26"/>
        </w:rPr>
        <w:t>二、延伸阅读（补充背景）</w:t>
      </w:r>
    </w:p>
    <w:p w14:paraId="2BEF1197">
      <w:pPr>
        <w:jc w:val="left"/>
      </w:pPr>
      <w:r>
        <w:rPr>
          <w:rFonts w:ascii="微软雅黑" w:hAnsi="微软雅黑" w:eastAsia="微软雅黑"/>
          <w:b/>
          <w:sz w:val="26"/>
        </w:rPr>
        <w:t>延伸1：2007—2016年上海市暴雨特征及其与内涝灾情关系分析</w:t>
      </w:r>
    </w:p>
    <w:p w14:paraId="76E0F1B5">
      <w:pPr>
        <w:jc w:val="left"/>
      </w:pPr>
      <w:r>
        <w:rPr>
          <w:rFonts w:ascii="Times New Roman" w:hAnsi="Times New Roman" w:eastAsia="宋体"/>
          <w:b w:val="0"/>
          <w:sz w:val="21"/>
        </w:rPr>
        <w:t>李海宏, 吴吉东. 2007—2016年上海市暴雨特征及其与内涝灾情关系分析[J]. 自然资源学报, 2018, 33(12): 2136-2148. DOI: 10.31497/zrzyxb.20180559.</w:t>
      </w:r>
    </w:p>
    <w:p w14:paraId="3F186091">
      <w:pPr>
        <w:jc w:val="left"/>
      </w:pPr>
      <w:r>
        <w:rPr>
          <w:rFonts w:ascii="Times New Roman" w:hAnsi="Times New Roman" w:eastAsia="宋体"/>
          <w:b w:val="0"/>
          <w:sz w:val="21"/>
        </w:rPr>
        <w:t>中文题名：2007—2016年上海市暴雨特征及其与内涝灾情关系分析；检索数据库：Crossref / CNKI</w:t>
      </w:r>
    </w:p>
    <w:p w14:paraId="5B58704A">
      <w:pPr>
        <w:jc w:val="left"/>
      </w:pPr>
      <w:r>
        <w:rPr>
          <w:rFonts w:ascii="Times New Roman" w:hAnsi="Times New Roman" w:eastAsia="宋体"/>
          <w:b w:val="0"/>
          <w:sz w:val="21"/>
        </w:rPr>
        <w:t>· 基于上海市2007—2016年暴雨记录与内涝灾情数据，统计暴雨的时空特征，并建立其与城市内涝灾情的对应关系。</w:t>
      </w:r>
    </w:p>
    <w:p w14:paraId="03750D7D">
      <w:pPr>
        <w:jc w:val="left"/>
      </w:pPr>
      <w:r>
        <w:rPr>
          <w:rFonts w:ascii="Times New Roman" w:hAnsi="Times New Roman" w:eastAsia="宋体"/>
          <w:b w:val="0"/>
          <w:sz w:val="21"/>
        </w:rPr>
        <w:t>· 指出不同等级暴雨引起的内涝响应存在差异，城市内涝灾情与短历时强降雨、下垫面条件及排水能力密切相关。</w:t>
      </w:r>
    </w:p>
    <w:p w14:paraId="36DFDE6C">
      <w:pPr>
        <w:jc w:val="left"/>
      </w:pPr>
      <w:r>
        <w:rPr>
          <w:rFonts w:ascii="Times New Roman" w:hAnsi="Times New Roman" w:eastAsia="宋体"/>
          <w:b w:val="0"/>
          <w:sz w:val="21"/>
        </w:rPr>
        <w:t>· 为城市暴雨内涝风险评估、监测预警与防灾减灾提供了区域实证依据。</w:t>
      </w:r>
    </w:p>
    <w:p w14:paraId="095FD050">
      <w:pPr>
        <w:jc w:val="left"/>
      </w:pPr>
      <w:r>
        <w:rPr>
          <w:rFonts w:ascii="微软雅黑" w:hAnsi="微软雅黑" w:eastAsia="微软雅黑"/>
          <w:b/>
          <w:sz w:val="26"/>
        </w:rPr>
        <w:t>延伸2：多机器人协同搜索与救援：规划、协调、感知与主动视觉</w:t>
      </w:r>
    </w:p>
    <w:p w14:paraId="50B42795">
      <w:pPr>
        <w:jc w:val="left"/>
      </w:pPr>
      <w:r>
        <w:rPr>
          <w:rFonts w:ascii="Times New Roman" w:hAnsi="Times New Roman" w:eastAsia="宋体"/>
          <w:b w:val="0"/>
          <w:sz w:val="21"/>
        </w:rPr>
        <w:t>Queralta J. P., Taipalmaa J., Pullinen B. C., Sarker V. K., Gia T. N., Tenhunen H., Gabbouj M., Raitoharju J., Westerlund T. (2020). Collaborative Multi-Robot Search and Rescue: Planning, Coordination, Perception, and Active Vision. IEEE Access, 8: 191617-191643. DOI: 10.1109/ACCESS.2020.3030190.</w:t>
      </w:r>
    </w:p>
    <w:p w14:paraId="440223AF">
      <w:pPr>
        <w:jc w:val="left"/>
      </w:pPr>
      <w:r>
        <w:rPr>
          <w:rFonts w:ascii="Times New Roman" w:hAnsi="Times New Roman" w:eastAsia="宋体"/>
          <w:b w:val="0"/>
          <w:sz w:val="21"/>
        </w:rPr>
        <w:t>中文题名：多机器人协同搜索与救援：规划、协调、感知与主动视觉；检索数据库：OpenAlex / Crossref</w:t>
      </w:r>
    </w:p>
    <w:p w14:paraId="1FB625EC">
      <w:pPr>
        <w:jc w:val="left"/>
      </w:pPr>
      <w:r>
        <w:rPr>
          <w:rFonts w:ascii="Times New Roman" w:hAnsi="Times New Roman" w:eastAsia="宋体"/>
          <w:b w:val="0"/>
          <w:sz w:val="21"/>
        </w:rPr>
        <w:t>· 系统综述支持搜索救援的（多）机器人系统，从系统级角度梳理任务规划、多机协调、感知建图、主动视觉等关键技术。</w:t>
      </w:r>
    </w:p>
    <w:p w14:paraId="23D429AC">
      <w:pPr>
        <w:jc w:val="left"/>
      </w:pPr>
      <w:r>
        <w:rPr>
          <w:rFonts w:ascii="Times New Roman" w:hAnsi="Times New Roman" w:eastAsia="宋体"/>
          <w:b w:val="0"/>
          <w:sz w:val="21"/>
        </w:rPr>
        <w:t>· 指出自主或遥控机器人可用于快速建图与态势评估、持续监测监视、临时通信组网、遇险者搜寻等，显著提升到达危险/难以进入区域的能力。</w:t>
      </w:r>
    </w:p>
    <w:p w14:paraId="0A106578">
      <w:pPr>
        <w:jc w:val="left"/>
      </w:pPr>
      <w:r>
        <w:rPr>
          <w:rFonts w:ascii="Times New Roman" w:hAnsi="Times New Roman" w:eastAsia="宋体"/>
          <w:b w:val="0"/>
          <w:sz w:val="21"/>
        </w:rPr>
        <w:t>· 强调多机器人系统在通信约束、环境不确定性与任务分配等方面的开放挑战。</w:t>
      </w:r>
    </w:p>
    <w:p w14:paraId="13DD58CE">
      <w:pPr>
        <w:jc w:val="left"/>
      </w:pPr>
      <w:r>
        <w:rPr>
          <w:rFonts w:ascii="微软雅黑" w:hAnsi="微软雅黑" w:eastAsia="微软雅黑"/>
          <w:b/>
          <w:sz w:val="26"/>
        </w:rPr>
        <w:t>三、综合分析与设计要点（对应三个调研问题）</w:t>
      </w:r>
    </w:p>
    <w:p w14:paraId="3183602B">
      <w:pPr>
        <w:jc w:val="left"/>
      </w:pPr>
      <w:r>
        <w:rPr>
          <w:rFonts w:ascii="微软雅黑" w:hAnsi="微软雅黑" w:eastAsia="微软雅黑"/>
          <w:b/>
          <w:sz w:val="22"/>
        </w:rPr>
        <w:t>1. 暴雨时哪些设施最先失效？</w:t>
      </w:r>
    </w:p>
    <w:p w14:paraId="4A3E2EAF">
      <w:pPr>
        <w:jc w:val="left"/>
      </w:pPr>
      <w:r>
        <w:rPr>
          <w:rFonts w:ascii="Times New Roman" w:hAnsi="Times New Roman" w:eastAsia="宋体"/>
          <w:b w:val="0"/>
          <w:sz w:val="21"/>
        </w:rPr>
        <w:t>依据第1、2、3、4、延伸1篇：最先失效的并非单纯“被水淹没的设施”，而是依赖性强、封闭且易受水侵的节点——下穿隧道/地铁与地下空间、低洼道路首先成为高风险点；随后沿“电力—通信—排水—交通”依赖网络级联，变电站、通信基站、泵站等升级点放大失效。暴雨强度与承灾体暴露的“风险突增”效应要求救援系统把这些节点作为最高优先级监测与先期处置目标。</w:t>
      </w:r>
    </w:p>
    <w:p w14:paraId="4BD447AB">
      <w:pPr>
        <w:jc w:val="left"/>
      </w:pPr>
      <w:r>
        <w:rPr>
          <w:rFonts w:ascii="微软雅黑" w:hAnsi="微软雅黑" w:eastAsia="微软雅黑"/>
          <w:b/>
          <w:sz w:val="22"/>
        </w:rPr>
        <w:t>2. 应急救援的响应时间窗口如何量化？</w:t>
      </w:r>
    </w:p>
    <w:p w14:paraId="1CC964B2">
      <w:pPr>
        <w:jc w:val="left"/>
      </w:pPr>
      <w:r>
        <w:rPr>
          <w:rFonts w:ascii="Times New Roman" w:hAnsi="Times New Roman" w:eastAsia="宋体"/>
          <w:b w:val="0"/>
          <w:sz w:val="21"/>
        </w:rPr>
        <w:t>依据第5、6篇：洪涝是应急响应启动最频繁的灾种，当前主要短板在于“启动—响应”职责不清、缺乏全过程管理；疏散仿真则显示积水演进、路网受阻与人员移动共同决定撤离效率。因此“黄金窗口”不宜照搬医学复苏的固定30分钟，而应按“预警启动→力量投送→疏散/救援到位”全链条计时，将各环节压缩到分级目标之内，并优先保障封闭空间与可达性差的区域。</w:t>
      </w:r>
    </w:p>
    <w:p w14:paraId="49FBEADD">
      <w:pPr>
        <w:jc w:val="left"/>
      </w:pPr>
      <w:r>
        <w:rPr>
          <w:rFonts w:ascii="微软雅黑" w:hAnsi="微软雅黑" w:eastAsia="微软雅黑"/>
          <w:b/>
          <w:sz w:val="22"/>
        </w:rPr>
        <w:t>3. 无人船在哪些场景比人工更有效？</w:t>
      </w:r>
    </w:p>
    <w:p w14:paraId="7F9563F1">
      <w:pPr>
        <w:jc w:val="left"/>
      </w:pPr>
      <w:r>
        <w:rPr>
          <w:rFonts w:ascii="Times New Roman" w:hAnsi="Times New Roman" w:eastAsia="宋体"/>
          <w:b w:val="0"/>
          <w:sz w:val="21"/>
        </w:rPr>
        <w:t>依据第7、8、延伸2篇：无人船在浅水/漂浮物密集/结构受损水域、污染或漏电风险水域、夜间低能见度环境、长时间持续值守等“人不能进、不该进、来不及进”的场景明显优于人工；并与无人机组成“水面执行 + 空中中继与俯瞰”的异构协同，先快速建图定位，再引导有人力量精确施救。</w:t>
      </w:r>
    </w:p>
    <w:p w14:paraId="2DAC027E">
      <w:pPr>
        <w:jc w:val="left"/>
      </w:pPr>
      <w:r>
        <w:rPr>
          <w:rFonts w:ascii="微软雅黑" w:hAnsi="微软雅黑" w:eastAsia="微软雅黑"/>
          <w:b/>
          <w:sz w:val="26"/>
        </w:rPr>
        <w:t>四、参考文献（按文中序号）</w:t>
      </w:r>
    </w:p>
    <w:p w14:paraId="307C9025">
      <w:pPr>
        <w:jc w:val="left"/>
      </w:pPr>
      <w:r>
        <w:rPr>
          <w:rFonts w:ascii="Times New Roman" w:hAnsi="Times New Roman" w:eastAsia="宋体"/>
          <w:b w:val="0"/>
          <w:sz w:val="21"/>
        </w:rPr>
        <w:t>[1] 扈海波. 城市暴雨积涝灾害风险突增效应研究进展[J]. 地理科学进展, 2016, 35(9): 1075-1086. DOI: 10.18306/dlkxjz.2016.09.003.</w:t>
      </w:r>
    </w:p>
    <w:p w14:paraId="62593E86">
      <w:pPr>
        <w:jc w:val="left"/>
      </w:pPr>
      <w:r>
        <w:rPr>
          <w:rFonts w:ascii="Times New Roman" w:hAnsi="Times New Roman" w:eastAsia="宋体"/>
          <w:b w:val="0"/>
          <w:sz w:val="21"/>
        </w:rPr>
        <w:t>[2] Pescaroli G., Alexander D. Critical infrastructure, panarchies and the vulnerability paths of cascading disasters[J]. Natural Hazards, 2016, 82(1): 175-192. DOI: 10.1007/s11069-016-2186-3.</w:t>
      </w:r>
    </w:p>
    <w:p w14:paraId="2B9BC3CD">
      <w:pPr>
        <w:jc w:val="left"/>
      </w:pPr>
      <w:r>
        <w:rPr>
          <w:rFonts w:ascii="Times New Roman" w:hAnsi="Times New Roman" w:eastAsia="宋体"/>
          <w:b w:val="0"/>
          <w:sz w:val="21"/>
        </w:rPr>
        <w:t>[3] Fekete A. Critical infrastructure and flood resilience: Cascading effects beyond water[J]. WIREs Water, 2019, 6(5): e1370. DOI: 10.1002/wat2.1370.</w:t>
      </w:r>
    </w:p>
    <w:p w14:paraId="200F87EB">
      <w:pPr>
        <w:jc w:val="left"/>
      </w:pPr>
      <w:r>
        <w:rPr>
          <w:rFonts w:ascii="Times New Roman" w:hAnsi="Times New Roman" w:eastAsia="宋体"/>
          <w:b w:val="0"/>
          <w:sz w:val="21"/>
        </w:rPr>
        <w:t>[4] Zhao X., Li H., Cai Q., Pan Y., Qi Y. Managing extreme rainfall and flooding events: A case study of the 20 July 2021 Zhengzhou flood in China[J]. Climate, 2023, 11(11): 228. DOI: 10.3390/cli11110228.</w:t>
      </w:r>
    </w:p>
    <w:p w14:paraId="581FB7DA">
      <w:pPr>
        <w:jc w:val="left"/>
      </w:pPr>
      <w:r>
        <w:rPr>
          <w:rFonts w:ascii="Times New Roman" w:hAnsi="Times New Roman" w:eastAsia="宋体"/>
          <w:b w:val="0"/>
          <w:sz w:val="21"/>
        </w:rPr>
        <w:t>[5] 谭徐明, 马建明, 张念强. 洪涝灾害应急响应调查及其若干问题探讨[J]. 中国水利水电科学研究院学报, 2009, 7(3): 216-221. DOI: 10.3969/j.issn.1672-3031.2009.03.010.</w:t>
      </w:r>
    </w:p>
    <w:p w14:paraId="214DE870">
      <w:pPr>
        <w:jc w:val="left"/>
      </w:pPr>
      <w:r>
        <w:rPr>
          <w:rFonts w:ascii="Times New Roman" w:hAnsi="Times New Roman" w:eastAsia="宋体"/>
          <w:b w:val="0"/>
          <w:sz w:val="21"/>
        </w:rPr>
        <w:t>[6] 杨宇涵, 殷杰, 王丹丹, 等. 基于ABM的城市暴雨洪涝灾害应急疏散仿真研究——以河南郑州“7·20”特大暴雨洪涝灾害为例[J]. 中国科学：地球科学, 2023, 53(2): 267-276. DOI: 10.1360/sste-2022-0094.</w:t>
      </w:r>
    </w:p>
    <w:p w14:paraId="5AA96DCC">
      <w:pPr>
        <w:jc w:val="left"/>
      </w:pPr>
      <w:r>
        <w:rPr>
          <w:rFonts w:ascii="Times New Roman" w:hAnsi="Times New Roman" w:eastAsia="宋体"/>
          <w:b w:val="0"/>
          <w:sz w:val="21"/>
        </w:rPr>
        <w:t>[7] Murphy R. R., Steimle E., Griffin C., et al. Cooperative use of unmanned sea surface and micro aerial vehicles at Hurricane Wilma[J]. Journal of Field Robotics, 2008, 25(3): 164-180. DOI: 10.1002/rob.20235.</w:t>
      </w:r>
    </w:p>
    <w:p w14:paraId="3F94E3DA">
      <w:pPr>
        <w:jc w:val="left"/>
      </w:pPr>
      <w:r>
        <w:rPr>
          <w:rFonts w:ascii="Times New Roman" w:hAnsi="Times New Roman" w:eastAsia="宋体"/>
          <w:b w:val="0"/>
          <w:sz w:val="21"/>
        </w:rPr>
        <w:t>[8] Yang T., Jiang Z., Sun R., et al. Maritime search and rescue based on group mobile computing for unmanned aerial vehicles and unmanned surface vehicles[J]. IEEE Transactions on Industrial Informatics, 2020, 16(12): 7700-7708. DOI: 10.1109/TII.2020.2974047.</w:t>
      </w:r>
    </w:p>
    <w:p w14:paraId="655381BF">
      <w:pPr>
        <w:jc w:val="left"/>
      </w:pPr>
      <w:r>
        <w:rPr>
          <w:rFonts w:ascii="Times New Roman" w:hAnsi="Times New Roman" w:eastAsia="宋体"/>
          <w:b w:val="0"/>
          <w:sz w:val="21"/>
        </w:rPr>
        <w:t>[9] 李海宏, 吴吉东. 2007—2016年上海市暴雨特征及其与内涝灾情关系分析[J]. 自然资源学报, 2018, 33(12): 2136-2148. DOI: 10.31497/zrzyxb.20180559.</w:t>
      </w:r>
    </w:p>
    <w:p w14:paraId="267FAE51">
      <w:pPr>
        <w:jc w:val="left"/>
      </w:pPr>
      <w:r>
        <w:rPr>
          <w:rFonts w:ascii="Times New Roman" w:hAnsi="Times New Roman" w:eastAsia="宋体"/>
          <w:b w:val="0"/>
          <w:sz w:val="21"/>
        </w:rPr>
        <w:t>[10] Queralta J. P., Taipalmaa J., Pullinen B. C., et al. Collaborative multi-robot search and rescue: Planning, coordination, perception, and active vision[J]. IEEE Access, 2020, 8: 191617-191643. DOI: 10.1109/ACCESS.2020.3030190.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CE3F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5382</Words>
  <Characters>7943</Characters>
  <Lines>0</Lines>
  <Paragraphs>0</Paragraphs>
  <TotalTime>1</TotalTime>
  <ScaleCrop>false</ScaleCrop>
  <LinksUpToDate>false</LinksUpToDate>
  <CharactersWithSpaces>8499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姜迩宁(2025013528)</cp:lastModifiedBy>
  <dcterms:modified xsi:type="dcterms:W3CDTF">2026-09-01T06:02:39Z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eyJoZGlkIjoiNDY1MzRjNWJjZjIwYjQyZmFkYjM5MjdmNWViYmU1YmUiLCJ1c2VySWQiOiIxNzMzMDMzODM3In0=</vt:lpwstr>
  </property>
  <property fmtid="{D5CDD505-2E9C-101B-9397-08002B2CF9AE}" pid="3" name="KSOProductBuildVer">
    <vt:lpwstr>2052-12.1.0.28043</vt:lpwstr>
  </property>
  <property fmtid="{D5CDD505-2E9C-101B-9397-08002B2CF9AE}" pid="4" name="ICV">
    <vt:lpwstr>178D57F440BE4AC79DBD222943BBD8ED_12</vt:lpwstr>
  </property>
</Properties>
</file>