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E001E2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机器人设计文献整理汇总——面向救援基站塔与无人机群小车</w:t>
      </w:r>
    </w:p>
    <w:p w14:paraId="0B801F36">
      <w:r>
        <w:rPr>
          <w:rFonts w:hint="eastAsia"/>
        </w:rPr>
        <w:t>本汇总整合六篇机器人设计相关文献的阅读笔记,结合团队"救援基站塔"与"无人机群小车"两个研究方向,提炼可复用的机构方案与设计原则。文中评价与启发属于阅读分析,不等同于原文作者结论。</w:t>
      </w:r>
    </w:p>
    <w:p w14:paraId="5F00364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一、文献总览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587B97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515B67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主题</w:t>
            </w:r>
          </w:p>
        </w:tc>
        <w:tc>
          <w:tcPr>
            <w:tcW w:w="2076" w:type="dxa"/>
          </w:tcPr>
          <w:p w14:paraId="7F6C87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作者/年份/出处</w:t>
            </w:r>
          </w:p>
        </w:tc>
        <w:tc>
          <w:tcPr>
            <w:tcW w:w="2076" w:type="dxa"/>
          </w:tcPr>
          <w:p w14:paraId="0F7930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与本方向的关系</w:t>
            </w:r>
          </w:p>
        </w:tc>
      </w:tr>
      <w:tr>
        <w:trPr/>
        <w:tc>
          <w:tcPr>
            <w:tcW w:w="2076" w:type="dxa"/>
          </w:tcPr>
          <w:p w14:paraId="0864AE70">
            <w:r>
              <w:t>1</w:t>
            </w:r>
          </w:p>
        </w:tc>
        <w:tc>
          <w:tcPr>
            <w:tcW w:w="2076" w:type="dxa"/>
          </w:tcPr>
          <w:p w14:paraId="72F729BE">
            <w:r>
              <w:rPr>
                <w:rFonts w:hint="eastAsia"/>
              </w:rPr>
              <w:t>自旋转桨轮两栖机器人</w:t>
            </w:r>
          </w:p>
        </w:tc>
        <w:tc>
          <w:tcPr>
            <w:tcW w:w="2076" w:type="dxa"/>
          </w:tcPr>
          <w:p w14:paraId="2BCB4B43">
            <w:r>
              <w:rPr>
                <w:rFonts w:hint="eastAsia"/>
              </w:rPr>
              <w:t>Kim等,IEEE/ASME Trans.Mechatronics,2023</w:t>
            </w:r>
          </w:p>
        </w:tc>
        <w:tc>
          <w:tcPr>
            <w:tcW w:w="2076" w:type="dxa"/>
          </w:tcPr>
          <w:p w14:paraId="772B6D50">
            <w:r>
              <w:rPr>
                <w:rFonts w:hint="eastAsia"/>
              </w:rPr>
              <w:t>小车底盘机动与越障</w:t>
            </w:r>
          </w:p>
        </w:tc>
      </w:tr>
      <w:tr>
        <w:trPr/>
        <w:tc>
          <w:tcPr>
            <w:tcW w:w="2076" w:type="dxa"/>
          </w:tcPr>
          <w:p w14:paraId="7000F16A">
            <w:r>
              <w:t>2</w:t>
            </w:r>
          </w:p>
        </w:tc>
        <w:tc>
          <w:tcPr>
            <w:tcW w:w="2076" w:type="dxa"/>
          </w:tcPr>
          <w:p w14:paraId="17003E6D">
            <w:r>
              <w:rPr>
                <w:rFonts w:hint="eastAsia"/>
              </w:rPr>
              <w:t>安防机器人自动对接与充电</w:t>
            </w:r>
          </w:p>
        </w:tc>
        <w:tc>
          <w:tcPr>
            <w:tcW w:w="2076" w:type="dxa"/>
          </w:tcPr>
          <w:p w14:paraId="7B963E84">
            <w:r>
              <w:rPr>
                <w:rFonts w:hint="eastAsia"/>
              </w:rPr>
              <w:t>Luo等,IROS,2005</w:t>
            </w:r>
          </w:p>
        </w:tc>
        <w:tc>
          <w:tcPr>
            <w:tcW w:w="2076" w:type="dxa"/>
          </w:tcPr>
          <w:p w14:paraId="2996AFFD">
            <w:r>
              <w:rPr>
                <w:rFonts w:hint="eastAsia"/>
              </w:rPr>
              <w:t>小车回塔对接充电</w:t>
            </w:r>
          </w:p>
        </w:tc>
      </w:tr>
      <w:tr>
        <w:trPr/>
        <w:tc>
          <w:tcPr>
            <w:tcW w:w="2076" w:type="dxa"/>
          </w:tcPr>
          <w:p w14:paraId="22B6CFBF">
            <w:r>
              <w:t>3</w:t>
            </w:r>
          </w:p>
        </w:tc>
        <w:tc>
          <w:tcPr>
            <w:tcW w:w="2076" w:type="dxa"/>
          </w:tcPr>
          <w:p w14:paraId="2372A137">
            <w:r>
              <w:rPr>
                <w:rFonts w:hint="eastAsia"/>
              </w:rPr>
              <w:t>灾害救援模块化空地车队集成设计</w:t>
            </w:r>
          </w:p>
        </w:tc>
        <w:tc>
          <w:tcPr>
            <w:tcW w:w="2076" w:type="dxa"/>
          </w:tcPr>
          <w:p w14:paraId="3C3B445D">
            <w:r>
              <w:rPr>
                <w:rFonts w:hint="eastAsia"/>
              </w:rPr>
              <w:t>Gärtner等,DESIGN 2018</w:t>
            </w:r>
          </w:p>
        </w:tc>
        <w:tc>
          <w:tcPr>
            <w:tcW w:w="2076" w:type="dxa"/>
          </w:tcPr>
          <w:p w14:paraId="27E58AA7">
            <w:r>
              <w:rPr>
                <w:rFonts w:hint="eastAsia"/>
              </w:rPr>
              <w:t>无人机群小车总体架构</w:t>
            </w:r>
          </w:p>
        </w:tc>
      </w:tr>
      <w:tr>
        <w:trPr/>
        <w:tc>
          <w:tcPr>
            <w:tcW w:w="2076" w:type="dxa"/>
          </w:tcPr>
          <w:p w14:paraId="1F390B95">
            <w:r>
              <w:t>4</w:t>
            </w:r>
          </w:p>
        </w:tc>
        <w:tc>
          <w:tcPr>
            <w:tcW w:w="2076" w:type="dxa"/>
          </w:tcPr>
          <w:p w14:paraId="28006A1F">
            <w:r>
              <w:rPr>
                <w:rFonts w:hint="eastAsia"/>
              </w:rPr>
              <w:t>JAXA月球车部署坡道</w:t>
            </w:r>
          </w:p>
        </w:tc>
        <w:tc>
          <w:tcPr>
            <w:tcW w:w="2076" w:type="dxa"/>
          </w:tcPr>
          <w:p w14:paraId="516551B0">
            <w:r>
              <w:rPr>
                <w:rFonts w:hint="eastAsia"/>
              </w:rPr>
              <w:t>Sutoh等,Acta Astronautica,2017</w:t>
            </w:r>
          </w:p>
        </w:tc>
        <w:tc>
          <w:tcPr>
            <w:tcW w:w="2076" w:type="dxa"/>
          </w:tcPr>
          <w:p w14:paraId="1D0026C3">
            <w:r>
              <w:rPr>
                <w:rFonts w:hint="eastAsia"/>
              </w:rPr>
              <w:t>基站塔坡道机构选型</w:t>
            </w:r>
          </w:p>
        </w:tc>
      </w:tr>
      <w:tr>
        <w:trPr/>
        <w:tc>
          <w:tcPr>
            <w:tcW w:w="2076" w:type="dxa"/>
          </w:tcPr>
          <w:p w14:paraId="162BB4C9">
            <w:r>
              <w:t>5</w:t>
            </w:r>
          </w:p>
        </w:tc>
        <w:tc>
          <w:tcPr>
            <w:tcW w:w="2076" w:type="dxa"/>
          </w:tcPr>
          <w:p w14:paraId="1F6CCFEB">
            <w:r>
              <w:rPr>
                <w:rFonts w:hint="eastAsia"/>
              </w:rPr>
              <w:t>"月船3号"月球车坡道</w:t>
            </w:r>
          </w:p>
        </w:tc>
        <w:tc>
          <w:tcPr>
            <w:tcW w:w="2076" w:type="dxa"/>
          </w:tcPr>
          <w:p w14:paraId="678FE11B">
            <w:r>
              <w:rPr>
                <w:rFonts w:hint="eastAsia"/>
              </w:rPr>
              <w:t>Shetty等,Acta Astronautica,2025</w:t>
            </w:r>
          </w:p>
        </w:tc>
        <w:tc>
          <w:tcPr>
            <w:tcW w:w="2076" w:type="dxa"/>
          </w:tcPr>
          <w:p w14:paraId="0C802221">
            <w:r>
              <w:rPr>
                <w:rFonts w:hint="eastAsia"/>
              </w:rPr>
              <w:t>基站塔坡道机构(飞行级)</w:t>
            </w:r>
          </w:p>
        </w:tc>
      </w:tr>
      <w:tr>
        <w:trPr/>
        <w:tc>
          <w:tcPr>
            <w:tcW w:w="2076" w:type="dxa"/>
          </w:tcPr>
          <w:p w14:paraId="077D90FB">
            <w:r>
              <w:t>6</w:t>
            </w:r>
          </w:p>
        </w:tc>
        <w:tc>
          <w:tcPr>
            <w:tcW w:w="2076" w:type="dxa"/>
          </w:tcPr>
          <w:p w14:paraId="4AB2F3C2">
            <w:r>
              <w:rPr>
                <w:rFonts w:hint="eastAsia"/>
              </w:rPr>
              <w:t>视觉-激光雷达自主对接充电</w:t>
            </w:r>
          </w:p>
        </w:tc>
        <w:tc>
          <w:tcPr>
            <w:tcW w:w="2076" w:type="dxa"/>
          </w:tcPr>
          <w:p w14:paraId="18ED9168">
            <w:r>
              <w:rPr>
                <w:rFonts w:hint="eastAsia"/>
              </w:rPr>
              <w:t>Jia等,Applied Sciences,2023</w:t>
            </w:r>
          </w:p>
        </w:tc>
        <w:tc>
          <w:tcPr>
            <w:tcW w:w="2076" w:type="dxa"/>
          </w:tcPr>
          <w:p w14:paraId="41FEF00E">
            <w:r>
              <w:rPr>
                <w:rFonts w:hint="eastAsia"/>
              </w:rPr>
              <w:t>小车回塔对接(现代传感)</w:t>
            </w:r>
          </w:p>
        </w:tc>
      </w:tr>
    </w:tbl>
    <w:p w14:paraId="6FCF1CF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二、分篇整理</w:t>
      </w:r>
    </w:p>
    <w:p w14:paraId="14B90FE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 自旋转桨轮两栖机器人</w:t>
      </w:r>
    </w:p>
    <w:p w14:paraId="0DC96F96">
      <w:r>
        <w:rPr>
          <w:rFonts w:hint="eastAsia"/>
        </w:rPr>
        <w:t>文献信息: Chaewon Kim等,"Amphibious Robot With Self-Rotating Paddle-Wheel Mechanism",IEEE/ASME Transactions on Mechatronics,28(4),2023。</w:t>
      </w:r>
    </w:p>
    <w:p w14:paraId="5EEB70F0">
      <w:r>
        <w:rPr>
          <w:rFonts w:hint="eastAsia"/>
        </w:rPr>
        <w:t>核心观点摘要: 在斜辐条轮上加两级齿轮组,使桨叶随轮体转动自动调整相位——上方回程投影面积小、下方做功投影面积大,产生净推力。一套轮系同时实现陆地行驶(实测0.47m/s)、水面推进、约25°/20°陆水过渡坡面和41.3mm越障。桨叶用田口法L9优化,120rpm下推力较基础桨形提升18.27%。</w:t>
      </w:r>
    </w:p>
    <w:p w14:paraId="6EF39862">
      <w:r>
        <w:rPr>
          <w:rFonts w:hint="eastAsia"/>
        </w:rPr>
        <w:t>对本方向的启发:</w:t>
      </w:r>
    </w:p>
    <w:p w14:paraId="1EFBE87B">
      <w:pPr>
        <w:numPr>
          <w:ilvl w:val="0"/>
          <w:numId w:val="1"/>
        </w:numPr>
      </w:pPr>
      <w:r>
        <w:rPr>
          <w:rFonts w:hint="eastAsia"/>
        </w:rPr>
        <w:t>无人机群小车底盘: 灾区路况含积水、碎石与低矮空间,若底盘要求涉水通行,可参考"被动相位调制"思路——桨叶姿态由轮内齿轮自动约束,不增加执行器,控制系统保持简单。</w:t>
      </w:r>
    </w:p>
    <w:p w14:paraId="6C6E0146">
      <w:pPr>
        <w:numPr>
          <w:ilvl w:val="0"/>
          <w:numId w:val="1"/>
        </w:numPr>
      </w:pPr>
      <w:r>
        <w:rPr>
          <w:rFonts w:hint="eastAsia"/>
        </w:rPr>
        <w:t>方法层面: 难建模的新机构不必死磕数值仿真,田口法等稳健试验设计能以低成本快速收敛,适合我们概念阶段的桨叶/轮系参数筛选。</w:t>
      </w:r>
    </w:p>
    <w:p w14:paraId="53EC5A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 安防机器人自动对接与充电</w:t>
      </w:r>
    </w:p>
    <w:p w14:paraId="1DFA882E">
      <w:r>
        <w:rPr>
          <w:rFonts w:hint="eastAsia"/>
        </w:rPr>
        <w:t>文献信息: Ren C.Luo等,"Automatic Docking and Recharging System for Autonomous Security Robot",IROS 2005。</w:t>
      </w:r>
    </w:p>
    <w:p w14:paraId="756710B1">
      <w:r>
        <w:rPr>
          <w:rFonts w:hint="eastAsia"/>
        </w:rPr>
        <w:t>核心观点摘要: 视觉地标+逆透视位姿估计+虚拟弹簧控制+两自由度被动柔顺接口构成充电闭环,100次试验机械对接成功率99%。锥形导入口与弹簧复位充电针允许约5°角度误差和2cm水平偏差;限位开关确认接触后延迟30s上电,电流检测区分过流、无电流、正常与饱和。</w:t>
      </w:r>
    </w:p>
    <w:p w14:paraId="056DA942">
      <w:r>
        <w:rPr>
          <w:rFonts w:hint="eastAsia"/>
        </w:rPr>
        <w:t>对本方向的启发:</w:t>
      </w:r>
    </w:p>
    <w:p w14:paraId="69B1ECCC">
      <w:pPr>
        <w:numPr>
          <w:ilvl w:val="0"/>
          <w:numId w:val="1"/>
        </w:numPr>
      </w:pPr>
      <w:r>
        <w:rPr>
          <w:rFonts w:hint="eastAsia"/>
        </w:rPr>
        <w:t>无人机群小车回塔充电: 对接成功率来自"感知×控制×机械容差×接触检测"的乘积,而非单一算法精度。三层容错架构(感知层送入捕获区、控制层平滑收敛、机械层吸收残差)可直接照搬。</w:t>
      </w:r>
    </w:p>
    <w:p w14:paraId="2EEE6351">
      <w:pPr>
        <w:numPr>
          <w:ilvl w:val="0"/>
          <w:numId w:val="1"/>
        </w:numPr>
      </w:pPr>
      <w:r>
        <w:rPr>
          <w:rFonts w:hint="eastAsia"/>
        </w:rPr>
        <w:t>救援基站塔充电端: 塔端充电接口做成锥形导向+弹簧复位的被动柔顺结构,用低成本机械换取大容差;上电时序先确认接触再通电,配过流/温升监测。</w:t>
      </w:r>
    </w:p>
    <w:p w14:paraId="45DD025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 灾害救援模块化空地车队的集成系统设计</w:t>
      </w:r>
    </w:p>
    <w:p w14:paraId="019E3271">
      <w:r>
        <w:rPr>
          <w:rFonts w:hint="eastAsia"/>
        </w:rPr>
        <w:t>文献信息: A.C.Gärtner等,"Integrated System Design of a Modular, Autonomous, Aerial and Ground Vehicle Fleet for Disaster Relief Missions",DESIGN 2018。</w:t>
      </w:r>
    </w:p>
    <w:p w14:paraId="77018539">
      <w:r>
        <w:rPr>
          <w:rFonts w:hint="eastAsia"/>
        </w:rPr>
        <w:t>核心观点摘要: 在约4km²地震场景、48h持续任务约束下,把模块化方案代入车队任务仿真(100次蒙特卡洛)评价。结论: 模块划分不能只看部件静态交互,还要看任务级代价;UGV自动为UAV换电等车队级行为才是空地协同的真正收益。最终方案为六旋翼UAV+锁扣式模块接口,电池沿导轨抽换,预留无人换电接口。</w:t>
      </w:r>
    </w:p>
    <w:p w14:paraId="07163EA5">
      <w:r>
        <w:rPr>
          <w:rFonts w:hint="eastAsia"/>
        </w:rPr>
        <w:t>对本方向的启发:</w:t>
      </w:r>
    </w:p>
    <w:p w14:paraId="796408D5">
      <w:pPr>
        <w:numPr>
          <w:ilvl w:val="0"/>
          <w:numId w:val="1"/>
        </w:numPr>
      </w:pPr>
      <w:r>
        <w:rPr>
          <w:rFonts w:hint="eastAsia"/>
        </w:rPr>
        <w:t>无人机群小车总体设计: "任务场景→可量化需求→模块架构→任务级仿真→加权选型"的闭环可直接用于我们的方案论证;评价模块边界的标准应是任务时间、能源、冗余与调度代价,而不是"接口少"。</w:t>
      </w:r>
    </w:p>
    <w:p w14:paraId="2E7E59D0">
      <w:pPr>
        <w:numPr>
          <w:ilvl w:val="0"/>
          <w:numId w:val="1"/>
        </w:numPr>
      </w:pPr>
      <w:r>
        <w:rPr>
          <w:rFonts w:hint="eastAsia"/>
        </w:rPr>
        <w:t>换电接口: UAV落于电池壳体、电池沿导轨抽换的构型,值得在小车顶部的起降/换电平台上沿用;六旋翼作为"单电机失效仍可控"的载荷-可靠性折中,可作为机群机型基准。</w:t>
      </w:r>
    </w:p>
    <w:p w14:paraId="472D2AB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 JAXA月球着陆任务的月球车部署坡道</w:t>
      </w:r>
    </w:p>
    <w:p w14:paraId="68D88E76">
      <w:r>
        <w:rPr>
          <w:rFonts w:hint="eastAsia"/>
        </w:rPr>
        <w:t>文献信息: Masataku Sutoh等,"Rover deployment system for lunar landing mission",Acta Astronautica,138(2017)。</w:t>
      </w:r>
    </w:p>
    <w:p w14:paraId="25BC146F">
      <w:r>
        <w:rPr>
          <w:rFonts w:hint="eastAsia"/>
        </w:rPr>
        <w:t>核心观点摘要: 对比3.5m下行坡道两种方案: 伸缩式单套约20kg、收纳紧凑、可双向展开;折叠式需两套共约30kg,但机构简单、月尘耐受好、一侧失败另一侧可用。地面等效试验(吊车钢索松弛保护)测得最大俯仰比理想梁模型更大,主要来自铰链松弛而非框架强度。结论: 任务可靠性优先于单项性能,选折叠式。</w:t>
      </w:r>
    </w:p>
    <w:p w14:paraId="35B9CCE3">
      <w:r>
        <w:rPr>
          <w:rFonts w:hint="eastAsia"/>
        </w:rPr>
        <w:t>对本方向的启发:</w:t>
      </w:r>
    </w:p>
    <w:p w14:paraId="7A5CE233">
      <w:pPr>
        <w:numPr>
          <w:ilvl w:val="0"/>
          <w:numId w:val="1"/>
        </w:numPr>
      </w:pPr>
      <w:r>
        <w:rPr>
          <w:rFonts w:hint="eastAsia"/>
        </w:rPr>
        <w:t>救援基站塔坡道选型: 这是"任务风险最优而非单项指标最优"的典型判例。塔体平台高约1.2m、坡角20°时坡道约3.5m,若收纳包络紧张,可参照"伸缩单套双向vs折叠双套冗余"的框架决策;灾区地面条件差,双套冗余对救援任务有现实价值。</w:t>
      </w:r>
    </w:p>
    <w:p w14:paraId="36B2AC10">
      <w:pPr>
        <w:numPr>
          <w:ilvl w:val="0"/>
          <w:numId w:val="1"/>
        </w:numPr>
      </w:pPr>
      <w:r>
        <w:rPr>
          <w:rFonts w:hint="eastAsia"/>
        </w:rPr>
        <w:t>结构验证: 理想连续梁模型会低估真实结构俯仰,铰链连接处变形必须实测;原型试验用配重等效载荷+松弛保护绳即可低成本完成。</w:t>
      </w:r>
    </w:p>
    <w:p w14:paraId="23CA246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 "月船3号"月球车坡道: 从概念到月面执行</w:t>
      </w:r>
    </w:p>
    <w:p w14:paraId="71D87A72">
      <w:r>
        <w:rPr>
          <w:rFonts w:hint="eastAsia"/>
        </w:rPr>
        <w:t>文献信息: Akash A.Shetty等,"Rover ramp deployment system for Chandrayaan-3",Acta Astronautica,229(2025)。</w:t>
      </w:r>
    </w:p>
    <w:p w14:paraId="3992FE9D">
      <w:r>
        <w:rPr>
          <w:rFonts w:hint="eastAsia"/>
        </w:rPr>
        <w:t>核心观点摘要: 完整飞行级机构闭环: 包络矛盾(总长2500mmvs单段1500mm)驱动主次双面板折叠方案;SMA Frangibolt顺序解锁,步进电机+谐波减速驱动,主动抬离不稳定平衡点后控制重力下放;后轮缠Kevlar绳实现无制动器下滑限速;经25g有限元、振动、热真空、跌落试验后月面一次部署成功。</w:t>
      </w:r>
    </w:p>
    <w:p w14:paraId="49EDC768">
      <w:r>
        <w:rPr>
          <w:rFonts w:hint="eastAsia"/>
        </w:rPr>
        <w:t>对本方向的启发:</w:t>
      </w:r>
    </w:p>
    <w:p w14:paraId="7E9F7A4B">
      <w:pPr>
        <w:numPr>
          <w:ilvl w:val="0"/>
          <w:numId w:val="1"/>
        </w:numPr>
      </w:pPr>
      <w:r>
        <w:rPr>
          <w:rFonts w:hint="eastAsia"/>
        </w:rPr>
        <w:t>救援基站塔展开机构: 双面板折叠解决"总长与收纳包络"矛盾的思路可直接迁移到塔体坡道/折叠平台设计;顺序释放(先次面板后主面板)+接触开关/电位计逐级确认的可观测机构设计,适合地面操控人员逐步确认再推进。</w:t>
      </w:r>
    </w:p>
    <w:p w14:paraId="7F9F2ACD">
      <w:pPr>
        <w:numPr>
          <w:ilvl w:val="0"/>
          <w:numId w:val="1"/>
        </w:numPr>
      </w:pPr>
      <w:r>
        <w:rPr>
          <w:rFonts w:hint="eastAsia"/>
        </w:rPr>
        <w:t>无人机群小车驶下: 小车从塔上驶下时若坡面摩擦不足,可参考"后轮缠绳随滚动放出"的被动限速方案,无需额外主动制动器;名义坡角30°、稳定角50°留20°裕度的取值逻辑同样适用。</w:t>
      </w:r>
    </w:p>
    <w:p w14:paraId="14C9DB9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 面向自主制造的视觉—激光雷达对接充电</w:t>
      </w:r>
    </w:p>
    <w:p w14:paraId="28B614CC">
      <w:r>
        <w:rPr>
          <w:rFonts w:hint="eastAsia"/>
        </w:rPr>
        <w:t>文献信息: Feiyu Jia等,"Vision- and Lidar-Based Autonomous Docking and Recharging of a Mobile Robot for Machine Tending",Applied Sciences,13(19),2023。</w:t>
      </w:r>
    </w:p>
    <w:p w14:paraId="55DCE2B7">
      <w:r>
        <w:rPr>
          <w:rFonts w:hint="eastAsia"/>
        </w:rPr>
        <w:t>核心观点摘要: YOLOv7做语义识别"哪个是正确充电站"(验证集mAP@0.5为99.4%),3D激光雷达做末端几何定位,七状态状态机(调正→判侧→横移→对正→直行→停靠)完成靠站,末端停在2-3cm。分工明确、规则透明、易于调试定位失败原因。</w:t>
      </w:r>
    </w:p>
    <w:p w14:paraId="65DA1A3B">
      <w:r>
        <w:rPr>
          <w:rFonts w:hint="eastAsia"/>
        </w:rPr>
        <w:t>对本方向的启发:</w:t>
      </w:r>
    </w:p>
    <w:p w14:paraId="6EBDA482">
      <w:pPr>
        <w:numPr>
          <w:ilvl w:val="0"/>
          <w:numId w:val="1"/>
        </w:numPr>
      </w:pPr>
      <w:r>
        <w:rPr>
          <w:rFonts w:hint="eastAsia"/>
        </w:rPr>
        <w:t>无人机群小车回塔对接: 沿用"视觉选目标、雷达定姿态"的分工;七状态机把二维位姿修正拆成可解释的旋转+平移步骤,比端到端策略更好调试。</w:t>
      </w:r>
    </w:p>
    <w:p w14:paraId="1A157E1D">
      <w:pPr>
        <w:numPr>
          <w:ilvl w:val="0"/>
          <w:numId w:val="1"/>
        </w:numPr>
      </w:pPr>
      <w:r>
        <w:rPr>
          <w:rFonts w:hint="eastAsia"/>
        </w:rPr>
        <w:t>救援基站塔充电舱: 环境工程化不可省——舱体侧壁等规则几何特征显著降低对接控制复杂度;建议预装AprilTag/主动红外作为低照度、烟雾环境下的视觉备份。</w:t>
      </w:r>
    </w:p>
    <w:p w14:paraId="3A32CF3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三、面向两个研究方向的综合设计要点</w:t>
      </w:r>
    </w:p>
    <w:p w14:paraId="74D83E6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救援基站塔</w:t>
      </w:r>
    </w:p>
    <w:p w14:paraId="473344A6">
      <w:pPr>
        <w:numPr>
          <w:ilvl w:val="0"/>
          <w:numId w:val="2"/>
        </w:numPr>
      </w:pPr>
      <w:r>
        <w:rPr>
          <w:rFonts w:hint="eastAsia"/>
        </w:rPr>
        <w:t>坡道/平台展开机构: 采用双面板折叠构型解决总长与包络矛盾,顺序解锁+电机驱动+接触开关逐级确认(文献5);机构选型按"任务风险最优"决策,灾区环境可接受双套冗余换可靠性(文献4)。</w:t>
      </w:r>
    </w:p>
    <w:p w14:paraId="737D8897">
      <w:pPr>
        <w:numPr>
          <w:ilvl w:val="0"/>
          <w:numId w:val="2"/>
        </w:numPr>
      </w:pPr>
      <w:r>
        <w:rPr>
          <w:rFonts w:hint="eastAsia"/>
        </w:rPr>
        <w:t>承力与部署合并: 载荷(小车/无人机)直接固定在展开面板上,缩短载荷路径、省去独立承力支架(文献5);保持点布局需对齐载荷路径。</w:t>
      </w:r>
    </w:p>
    <w:p w14:paraId="0239FDFD">
      <w:pPr>
        <w:numPr>
          <w:ilvl w:val="0"/>
          <w:numId w:val="2"/>
        </w:numPr>
      </w:pPr>
      <w:r>
        <w:rPr>
          <w:rFonts w:hint="eastAsia"/>
        </w:rPr>
        <w:t>对接与充电接口: 塔端充电接口做锥形导向+弹簧复位被动柔顺(文献2);充电舱预留规则几何特征或视觉标记(文献6);接触确认后再上电,配过流/温升监测(文献2)。</w:t>
      </w:r>
    </w:p>
    <w:p w14:paraId="000F16A8">
      <w:pPr>
        <w:numPr>
          <w:ilvl w:val="0"/>
          <w:numId w:val="2"/>
        </w:numPr>
      </w:pPr>
      <w:r>
        <w:rPr>
          <w:rFonts w:hint="eastAsia"/>
        </w:rPr>
        <w:t>展开与限速: 小车驶下用被动限速(缠绳随轮放出),不增加制动器(文献5);展开角度按稳定角留裕度(文献5)。</w:t>
      </w:r>
    </w:p>
    <w:p w14:paraId="54872E2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无人机群小车</w:t>
      </w:r>
    </w:p>
    <w:p w14:paraId="62D80A45">
      <w:pPr>
        <w:numPr>
          <w:ilvl w:val="0"/>
          <w:numId w:val="3"/>
        </w:numPr>
      </w:pPr>
      <w:r>
        <w:rPr>
          <w:rFonts w:hint="eastAsia"/>
        </w:rPr>
        <w:t>底盘机动: 灾害场景涉水/碎石通行可参考桨轮被动相位调制,单套轮系覆盖多工况(文献1);难建模机构用田口法快速优化(文献1)。</w:t>
      </w:r>
    </w:p>
    <w:p w14:paraId="783BC5B4">
      <w:pPr>
        <w:numPr>
          <w:ilvl w:val="0"/>
          <w:numId w:val="3"/>
        </w:numPr>
      </w:pPr>
      <w:r>
        <w:rPr>
          <w:rFonts w:hint="eastAsia"/>
        </w:rPr>
        <w:t>自主回塔: 三层容错架构(感知捕获区+控制收敛+机械吸收残差)贯穿方案(文献2);视觉语义识别+激光雷达几何控制+七状态机(文献6)。</w:t>
      </w:r>
    </w:p>
    <w:p w14:paraId="32312C31">
      <w:pPr>
        <w:numPr>
          <w:ilvl w:val="0"/>
          <w:numId w:val="3"/>
        </w:numPr>
      </w:pPr>
      <w:r>
        <w:rPr>
          <w:rFonts w:hint="eastAsia"/>
        </w:rPr>
        <w:t>群机起降与换电: 顶部平台按"落点+导轨抽换电池"设计,预留无人换电接口(文献3);机群采用六旋翼等单电机失效可控构型(文献3)。</w:t>
      </w:r>
    </w:p>
    <w:p w14:paraId="31B8051B">
      <w:pPr>
        <w:numPr>
          <w:ilvl w:val="0"/>
          <w:numId w:val="3"/>
        </w:numPr>
      </w:pPr>
      <w:r>
        <w:rPr>
          <w:rFonts w:hint="eastAsia"/>
        </w:rPr>
        <w:t>总体论证: 任务级蒙特卡洛仿真驱动模块划分与选型,以48h持续任务、GPS拒止等真实约束评价方案(文献3)。</w:t>
      </w:r>
    </w:p>
    <w:p w14:paraId="23F7211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共同的设计原则</w:t>
      </w:r>
    </w:p>
    <w:p w14:paraId="2F93BBD5">
      <w:pPr>
        <w:numPr>
          <w:ilvl w:val="0"/>
          <w:numId w:val="1"/>
        </w:numPr>
      </w:pPr>
      <w:r>
        <w:rPr>
          <w:rFonts w:hint="eastAsia"/>
        </w:rPr>
        <w:t>三层容错: 算法精度×机构容差×接触检测×异常处理缺一不可(文献2、6)。</w:t>
      </w:r>
    </w:p>
    <w:p w14:paraId="4A9CFE80">
      <w:pPr>
        <w:numPr>
          <w:ilvl w:val="0"/>
          <w:numId w:val="1"/>
        </w:numPr>
      </w:pPr>
      <w:r>
        <w:rPr>
          <w:rFonts w:hint="eastAsia"/>
        </w:rPr>
        <w:t>被动机构优先: 自转桨叶、弹簧复位接口、缠绳限速——凡能靠机构被动实现的功能,不增加执行器(文献1、2、5)。</w:t>
      </w:r>
    </w:p>
    <w:p w14:paraId="38B12DCA">
      <w:pPr>
        <w:numPr>
          <w:ilvl w:val="0"/>
          <w:numId w:val="1"/>
        </w:numPr>
      </w:pPr>
      <w:r>
        <w:rPr>
          <w:rFonts w:hint="eastAsia"/>
        </w:rPr>
        <w:t>任务风险最优: 不追求单项指标最优,以任务成功率为准绳,冗余与可观测性优先(文献4、5)。</w:t>
      </w:r>
    </w:p>
    <w:p w14:paraId="30AA3E38">
      <w:pPr>
        <w:numPr>
          <w:ilvl w:val="0"/>
          <w:numId w:val="1"/>
        </w:numPr>
      </w:pPr>
      <w:r>
        <w:rPr>
          <w:rFonts w:hint="eastAsia"/>
        </w:rPr>
        <w:t>试验验证链: 仿真→部组件→系统环境试验逐级验证;模型与试验的偏差(如铰链松弛、平台柔性)本身就是信息(文献4、5);验证须覆盖初始位姿分布与工作域边界(文献2、6)。</w:t>
      </w:r>
    </w:p>
    <w:p w14:paraId="55359C1B">
      <w:r>
        <w:rPr>
          <w:rFonts w:hint="eastAsia"/>
        </w:rPr>
        <w:t>本汇总依据团队本地保存的六篇原论文阅读笔记整理;笔记中的评价与启发属于阅读分析,不等同于原文作者结论。</w:t>
      </w:r>
    </w:p>
    <w:p w14:paraId="07B50C52">
      <w:pPr/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2"/>
  </w:num>
  <w:num w:numId="1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2026-09-04T23:32:33Z</dcterms:created>
  <dcterms:modified xsi:type="dcterms:W3CDTF">2026-09-04T23:32:33Z</dcterms:modified>
</cp:coreProperties>
</file>