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00"/>
      </w:pPr>
      <w:r>
        <w:rPr>
          <w:rFonts w:ascii="Calibri" w:hAnsi="Calibri" w:eastAsia="Microsoft YaHei"/>
          <w:b/>
          <w:color w:val="2E74B5"/>
          <w:sz w:val="20"/>
        </w:rPr>
        <w:t>文献阅读笔记</w:t>
      </w:r>
    </w:p>
    <w:p>
      <w:pPr>
        <w:keepNext/>
        <w:spacing w:before="0" w:after="160"/>
      </w:pPr>
      <w:r>
        <w:rPr>
          <w:rFonts w:ascii="Calibri" w:hAnsi="Calibri" w:eastAsia="Microsoft YaHei"/>
          <w:b/>
          <w:color w:val="1A1F24"/>
          <w:sz w:val="46"/>
        </w:rPr>
        <w:t>JAXA 月球着陆任务的月球车部署系统</w:t>
      </w:r>
    </w:p>
    <w:p>
      <w:pPr>
        <w:spacing w:after="240" w:line="276" w:lineRule="auto"/>
      </w:pPr>
      <w:r>
        <w:rPr>
          <w:rFonts w:ascii="Calibri" w:hAnsi="Calibri" w:eastAsia="Microsoft YaHei"/>
          <w:b/>
          <w:color w:val="2E74B5"/>
          <w:sz w:val="19"/>
        </w:rPr>
        <w:t xml:space="preserve">文献信息  </w:t>
      </w:r>
      <w:r>
        <w:rPr>
          <w:rFonts w:ascii="Calibri" w:hAnsi="Calibri" w:eastAsia="Microsoft YaHei"/>
          <w:color w:val="606770"/>
          <w:sz w:val="19"/>
        </w:rPr>
        <w:t>Masataku Sutoh, Takeshi Hoshino, Sachiko Wakabayashi. “Rover deployment system for lunar landing mission.” *Acta Astronautica*, 138 (2017), 454–461. DOI: 10.1016/j.actaastro.2017.06.019。</w:t>
      </w:r>
    </w:p>
    <w:p>
      <w:pPr>
        <w:shd w:fill="E8EEF5"/>
        <w:spacing w:before="80" w:after="180" w:line="288" w:lineRule="auto"/>
        <w:ind w:left="160" w:right="160"/>
      </w:pPr>
      <w:r>
        <w:rPr>
          <w:rFonts w:ascii="Calibri" w:hAnsi="Calibri" w:eastAsia="Microsoft YaHei"/>
          <w:b/>
          <w:color w:val="2E74B5"/>
          <w:sz w:val="20"/>
        </w:rPr>
        <w:t xml:space="preserve">一句话概括  </w:t>
      </w:r>
      <w:r>
        <w:rPr>
          <w:rFonts w:ascii="Calibri" w:hAnsi="Calibri" w:eastAsia="Microsoft YaHei"/>
          <w:b/>
          <w:color w:val="1A1F24"/>
          <w:sz w:val="23"/>
        </w:rPr>
        <w:t>论文比较了伸缩式和折叠式两种 3.5 m 月球车下行坡道：伸缩式更轻、更紧凑且可双向展开，折叠式虽需双套、总质量更大，却因机构更简单、故障冗余更高而被认为更适合任务。</w:t>
      </w:r>
    </w:p>
    <w:p>
      <w:pPr>
        <w:pStyle w:val="Heading1"/>
      </w:pPr>
      <w:r>
        <w:t>任务约束</w:t>
      </w:r>
    </w:p>
    <w:p>
      <w:r>
        <w:rPr>
          <w:rFonts w:ascii="Calibri" w:hAnsi="Calibri" w:eastAsia="Microsoft YaHei"/>
        </w:rPr>
        <w:t>目标是让约 300 kg 月球车从离地 1.2 m 的着陆器平台安全驶下。月球重力约为地球的 1/6，因此坡道设计载荷可用地面约 50 kgf 进行等效验证。为满足月球车通过能力，坡角取 20°，所需长度约 3.5 m；但发射时必须收拢并承受振动。</w:t>
      </w:r>
    </w:p>
    <w:p>
      <w:r>
        <w:rPr>
          <w:rFonts w:ascii="Calibri" w:hAnsi="Calibri" w:eastAsia="Microsoft YaHei"/>
        </w:rPr>
        <w:t>两种储存长度分别为：伸缩式 1.8 m，折叠式 1.3 m。共同评价指标是质量、安装便利性、可靠性、冗余性、地形适应和月尘影响。</w:t>
      </w:r>
    </w:p>
    <w:p>
      <w:pPr>
        <w:pStyle w:val="Heading1"/>
      </w:pPr>
      <w:r>
        <w:t>方案 A：伸缩式坡道</w:t>
      </w:r>
    </w:p>
    <w:p>
      <w:r>
        <w:rPr>
          <w:rFonts w:ascii="Calibri" w:hAnsi="Calibri" w:eastAsia="Microsoft YaHei"/>
        </w:rPr>
        <w:t>多个 U 形板重叠储存，沿侧壁滑轨依次伸出。第一块通过钩与着陆器横杆锁定，第二块通过锁扣/缺口与前一块固定，最后整条坡道在自重下绕横杆倾斜。其突出优点是一套坡道可沿相反方向展开，着陆后可以选择地形更安全的一侧。</w:t>
      </w:r>
    </w:p>
    <w:p>
      <w:r>
        <w:rPr>
          <w:rFonts w:ascii="Calibri" w:hAnsi="Calibri" w:eastAsia="Microsoft YaHei"/>
        </w:rPr>
        <w:t>原型收拢/展开尺寸为 1.8 × 0.6 m 和 3.5 × 0.6 m，2 mm 铝板原型重约 50 kg。作者估算若换用 CFRP 板并优化结构，飞行版单套可约 20 kg，其中展开机构约 4 kg、滑轨/钩/锁扣等约 10 kg。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34840" cy="5913120"/>
            <wp:docPr id="1" name="Picture 1" descr="伸缩坡道原理、原型展开与双向部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91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libri" w:hAnsi="Calibri" w:eastAsia="Microsoft YaHei"/>
          <w:i/>
          <w:color w:val="606770"/>
          <w:sz w:val="18"/>
        </w:rPr>
        <w:t>图：原文第 3 页。伸缩结构的最大吸引力是“一套机构、两个可选方向”。</w:t>
      </w:r>
    </w:p>
    <w:p>
      <w:pPr>
        <w:pStyle w:val="Heading1"/>
      </w:pPr>
      <w:r>
        <w:t>方案 B：折叠式坡道</w:t>
      </w:r>
    </w:p>
    <w:p>
      <w:r>
        <w:rPr>
          <w:rFonts w:ascii="Calibri" w:hAnsi="Calibri" w:eastAsia="Microsoft YaHei"/>
        </w:rPr>
        <w:t>两次折叠的 L 形路面板由内向外展开。展开完成后，相邻框架端面互相接触并承担竖向载荷。结构分析把单侧框架等效为“一端固支、一端简支”的梁，叠加前后轮集中载荷，计算挠度与月球车俯仰变化。</w:t>
      </w:r>
    </w:p>
    <w:p>
      <w:r>
        <w:rPr>
          <w:rFonts w:ascii="Calibri" w:hAnsi="Calibri" w:eastAsia="Microsoft YaHei"/>
        </w:rPr>
        <w:t>分析对象为 3.5 m 长、50 × 20 mm 空心矩形截面，比较 1 mm 铝、同质量 CFRP A 和同厚度 CFRP B：</w:t>
      </w:r>
    </w:p>
    <w:p>
      <w:pPr>
        <w:pStyle w:val="ListBullet"/>
      </w:pPr>
      <w:r>
        <w:rPr>
          <w:rFonts w:ascii="Calibri" w:hAnsi="Calibri" w:eastAsia="Microsoft YaHei"/>
        </w:rPr>
        <w:t>铝框最大挠度约 33 mm，理论俯仰变化约 ±1°。</w:t>
      </w:r>
    </w:p>
    <w:p>
      <w:pPr>
        <w:pStyle w:val="ListBullet"/>
      </w:pPr>
      <w:r>
        <w:rPr>
          <w:rFonts w:ascii="Calibri" w:hAnsi="Calibri" w:eastAsia="Microsoft YaHei"/>
        </w:rPr>
        <w:t>同质量 CFRP 可提高刚度；同厚度 CFRP 的质量约为铝的 55%，且俯仰变化更小。</w:t>
      </w:r>
    </w:p>
    <w:p>
      <w:pPr>
        <w:pStyle w:val="ListBullet"/>
      </w:pPr>
      <w:r>
        <w:rPr>
          <w:rFonts w:ascii="Calibri" w:hAnsi="Calibri" w:eastAsia="Microsoft YaHei"/>
        </w:rPr>
        <w:t>铝框架原型质量 5.8 kg；加上 L 形面板和展开机构，单套飞行版估计约 15 kg。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34840" cy="5913120"/>
            <wp:docPr id="2" name="Picture 2" descr="框架结构分析结果与折叠坡道原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91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libri" w:hAnsi="Calibri" w:eastAsia="Microsoft YaHei"/>
          <w:i/>
          <w:color w:val="606770"/>
          <w:sz w:val="18"/>
        </w:rPr>
        <w:t>图：原文第 6 页，包含挠度/俯仰曲线和 3.5 m 折叠框架。</w:t>
      </w:r>
    </w:p>
    <w:p>
      <w:pPr>
        <w:pStyle w:val="Heading1"/>
      </w:pPr>
      <w:r>
        <w:t>月球车下行试验</w:t>
      </w:r>
    </w:p>
    <w:p>
      <w:r>
        <w:rPr>
          <w:rFonts w:ascii="Calibri" w:hAnsi="Calibri" w:eastAsia="Microsoft YaHei"/>
        </w:rPr>
        <w:t>地面试验采用 30 kg 四轮车再加 20 kg 配重，等效 300 kg 月球车在月面产生的重力载荷；坡度 20°、速度 1 cm·s⁻¹。为防跌落，吊车钢索保持松弛，只提供安全保护；由于轮—框架摩擦不足，试验临时加装黏性海绵。</w:t>
      </w:r>
    </w:p>
    <w:p>
      <w:r>
        <w:rPr>
          <w:rFonts w:ascii="Calibri" w:hAnsi="Calibri" w:eastAsia="Microsoft YaHei"/>
        </w:rPr>
        <w:t>实测滚转约 −1.6°至 1.7°，偏航约 −1.2°至 1.4°；俯仰为 −25.0°至 −17.9°。最大俯仰比理想梁模型预期更大，作者认为主要来自铰链螺钉松弛和连接处附加变形，而不是框架本体强度不足。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34840" cy="5913120"/>
            <wp:docPr id="3" name="Picture 3" descr="月球车释放试验、姿态曲线与两方案比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91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libri" w:hAnsi="Calibri" w:eastAsia="Microsoft YaHei"/>
          <w:i/>
          <w:color w:val="606770"/>
          <w:sz w:val="18"/>
        </w:rPr>
        <w:t>图：原文第 7 页。试验揭示了“理想连续梁”与“带铰链真实结构”的差异。</w:t>
      </w:r>
    </w:p>
    <w:p>
      <w:pPr>
        <w:pStyle w:val="Heading1"/>
      </w:pPr>
      <w:r>
        <w:t>为什么最后偏向折叠式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tblHeader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A1F24"/>
                <w:sz w:val="19"/>
              </w:rPr>
              <w:t>维度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A1F24"/>
                <w:sz w:val="19"/>
              </w:rPr>
              <w:t>伸缩式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A1F24"/>
                <w:sz w:val="19"/>
              </w:rPr>
              <w:t>折叠式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A1F24"/>
                <w:sz w:val="19"/>
              </w:rPr>
              <w:t>估计总质量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A1F24"/>
                <w:sz w:val="19"/>
              </w:rPr>
              <w:t>约 20 kg/单套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A1F24"/>
                <w:sz w:val="19"/>
              </w:rPr>
              <w:t>约 15 kg/套，但需两套，共约 30 kg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A1F24"/>
                <w:sz w:val="19"/>
              </w:rPr>
              <w:t>收纳/安装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A1F24"/>
                <w:sz w:val="19"/>
              </w:rPr>
              <w:t>更紧凑，可藏于底板下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A1F24"/>
                <w:sz w:val="19"/>
              </w:rPr>
              <w:t>占空间更大，需在两侧安装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A1F24"/>
                <w:sz w:val="19"/>
              </w:rPr>
              <w:t>地形方向选择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A1F24"/>
                <w:sz w:val="19"/>
              </w:rPr>
              <w:t>单套可双向部署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A1F24"/>
                <w:sz w:val="19"/>
              </w:rPr>
              <w:t>每套单向，靠两套冗余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A1F24"/>
                <w:sz w:val="19"/>
              </w:rPr>
              <w:t>月尘敏感性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A1F24"/>
                <w:sz w:val="19"/>
              </w:rPr>
              <w:t>滑轨可能被月壤卡滞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A1F24"/>
                <w:sz w:val="19"/>
              </w:rPr>
              <w:t>铰链结构相对直接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A1F24"/>
                <w:sz w:val="19"/>
              </w:rPr>
              <w:t>故障后果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A1F24"/>
                <w:sz w:val="19"/>
              </w:rPr>
              <w:t>单套失败则无法下车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A1F24"/>
                <w:sz w:val="19"/>
              </w:rPr>
              <w:t>一侧失败仍可用另一侧</w:t>
            </w:r>
          </w:p>
        </w:tc>
      </w:tr>
    </w:tbl>
    <w:p>
      <w:pPr>
        <w:spacing w:before="80" w:after="80"/>
      </w:pPr>
    </w:p>
    <w:p>
      <w:r>
        <w:rPr>
          <w:rFonts w:ascii="Calibri" w:hAnsi="Calibri" w:eastAsia="Microsoft YaHei"/>
        </w:rPr>
        <w:t>航天任务把可靠性和冗余性的优先级放在质量与安装便利性之上，所以作者把折叠式视为更有前景的方案。这是典型的“不是单项最优，而是任务风险最优”。</w:t>
      </w:r>
    </w:p>
    <w:p>
      <w:pPr>
        <w:pStyle w:val="Heading1"/>
      </w:pPr>
      <w:r>
        <w:t>局限与后续工作</w:t>
      </w:r>
    </w:p>
    <w:p>
      <w:pPr>
        <w:pStyle w:val="ListBullet"/>
      </w:pPr>
      <w:r>
        <w:rPr>
          <w:rFonts w:ascii="Calibri" w:hAnsi="Calibri" w:eastAsia="Microsoft YaHei"/>
        </w:rPr>
        <w:t>两种坡道均为手动展开原型，真实分离螺栓、弹簧/钢索、速度控制和月面锁定尚未形成完整飞行机构。</w:t>
      </w:r>
    </w:p>
    <w:p>
      <w:pPr>
        <w:pStyle w:val="ListBullet"/>
      </w:pPr>
      <w:r>
        <w:rPr>
          <w:rFonts w:ascii="Calibri" w:hAnsi="Calibri" w:eastAsia="Microsoft YaHei"/>
        </w:rPr>
        <w:t>地面等效仅匹配静态重力载荷，不能完全复制月面接触、惯性、真空润滑、热循环和月尘。</w:t>
      </w:r>
    </w:p>
    <w:p>
      <w:pPr>
        <w:pStyle w:val="ListBullet"/>
      </w:pPr>
      <w:r>
        <w:rPr>
          <w:rFonts w:ascii="Calibri" w:hAnsi="Calibri" w:eastAsia="Microsoft YaHei"/>
        </w:rPr>
        <w:t>折叠坡道的临时海绵说明路面摩擦设计仍未闭环；真实踏面材料和轮齿啮合需要单独验证。</w:t>
      </w:r>
    </w:p>
    <w:p>
      <w:pPr>
        <w:pStyle w:val="ListBullet"/>
      </w:pPr>
      <w:r>
        <w:rPr>
          <w:rFonts w:ascii="Calibri" w:hAnsi="Calibri" w:eastAsia="Microsoft YaHei"/>
        </w:rPr>
        <w:t>最值得继续的方向是铰链一体化、CFRP 优化、月尘容错和部署动力学仿真，并以失效模式/Fault Tree 驱动双侧冗余设计。</w:t>
      </w:r>
    </w:p>
    <w:p>
      <w:pPr>
        <w:pStyle w:val="Heading1"/>
      </w:pPr>
      <w:r>
        <w:t>来源与使用说明</w:t>
      </w:r>
    </w:p>
    <w:p>
      <w:r>
        <w:rPr>
          <w:rFonts w:ascii="Calibri" w:hAnsi="Calibri" w:eastAsia="Microsoft YaHei"/>
        </w:rPr>
        <w:t>本笔记依据本地保存的原论文整理；图片均为原文关键页面的本地渲染，仅用于团队内部学习、讨论和设计参考。笔记中的评价与启发属于阅读分析，不等同于作者原文结论。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06770"/>
        <w:sz w:val="17"/>
      </w:rPr>
      <w:t xml:space="preserve">内部学习资料  |  第 </w:t>
    </w:r>
    <w:r/>
    <w:fldSimple w:instr="PAGE"/>
    <w:r>
      <w:rPr>
        <w:rFonts w:ascii="Calibri" w:hAnsi="Calibri" w:eastAsia="Microsoft YaHei"/>
        <w:color w:val="60677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06770"/>
        <w:sz w:val="17"/>
      </w:rPr>
      <w:t>文献阅读笔记  |  水陆两栖应急配送舰队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A1F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 w:val="0"/>
      <w:spacing w:before="60" w:after="200"/>
      <w:jc w:val="center"/>
    </w:pPr>
    <w:rPr>
      <w:rFonts w:ascii="Calibri" w:hAnsi="Calibri" w:eastAsia="Microsoft YaHei"/>
      <w:i/>
      <w:color w:val="6067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