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Microsoft YaHei"/>
          <w:b/>
          <w:color w:val="2E74B5"/>
          <w:sz w:val="20"/>
        </w:rPr>
        <w:t>文献阅读笔记</w:t>
      </w:r>
    </w:p>
    <w:p>
      <w:pPr>
        <w:keepNext/>
        <w:spacing w:before="0" w:after="160"/>
      </w:pPr>
      <w:r>
        <w:rPr>
          <w:rFonts w:ascii="Calibri" w:hAnsi="Calibri" w:eastAsia="Microsoft YaHei"/>
          <w:b/>
          <w:color w:val="1A1F24"/>
          <w:sz w:val="46"/>
        </w:rPr>
        <w:t>“月船 3 号”月球车坡道：从概念到月面执行</w:t>
      </w:r>
    </w:p>
    <w:p>
      <w:pPr>
        <w:spacing w:after="240" w:line="276" w:lineRule="auto"/>
      </w:pPr>
      <w:r>
        <w:rPr>
          <w:rFonts w:ascii="Calibri" w:hAnsi="Calibri" w:eastAsia="Microsoft YaHei"/>
          <w:b/>
          <w:color w:val="2E74B5"/>
          <w:sz w:val="19"/>
        </w:rPr>
        <w:t xml:space="preserve">文献信息  </w:t>
      </w:r>
      <w:r>
        <w:rPr>
          <w:rFonts w:ascii="Calibri" w:hAnsi="Calibri" w:eastAsia="Microsoft YaHei"/>
          <w:color w:val="606770"/>
          <w:sz w:val="19"/>
        </w:rPr>
        <w:t>Akash A. Shetty et al. “Rover ramp deployment system for Chandrayaan-3: Concept, design, development and operations.” *Acta Astronautica*, 229 (2025), 1–12. DOI: 10.1016/j.actaastro.2024.12.014。</w:t>
      </w:r>
    </w:p>
    <w:p>
      <w:pPr>
        <w:shd w:fill="E8EEF5"/>
        <w:spacing w:before="80" w:after="180" w:line="288" w:lineRule="auto"/>
        <w:ind w:left="160" w:right="160"/>
      </w:pPr>
      <w:r>
        <w:rPr>
          <w:rFonts w:ascii="Calibri" w:hAnsi="Calibri" w:eastAsia="Microsoft YaHei"/>
          <w:b/>
          <w:color w:val="2E74B5"/>
          <w:sz w:val="20"/>
        </w:rPr>
        <w:t xml:space="preserve">一句话概括  </w:t>
      </w:r>
      <w:r>
        <w:rPr>
          <w:rFonts w:ascii="Calibri" w:hAnsi="Calibri" w:eastAsia="Microsoft YaHei"/>
          <w:b/>
          <w:color w:val="1A1F24"/>
          <w:sz w:val="23"/>
        </w:rPr>
        <w:t>论文完整记录了一个飞行级机构的闭环：受空间包络限制的双面板折叠坡道，通过 SMA Frangibolt 解锁、谐波减速步进电机展开、Kevlar 绳约束月球车下滑，经有限元、热真空、振动、跌落和地面重力补偿试验后，在 2023 年月面成功工作。</w:t>
      </w:r>
    </w:p>
    <w:p>
      <w:pPr>
        <w:pStyle w:val="Heading1"/>
      </w:pPr>
      <w:r>
        <w:t>设计难题</w:t>
      </w:r>
    </w:p>
    <w:p>
      <w:r>
        <w:rPr>
          <w:rFonts w:ascii="Calibri" w:hAnsi="Calibri" w:eastAsia="Microsoft YaHei"/>
        </w:rPr>
        <w:t>“月船 3 号”着陆器顶板已被科学载荷占用，26.5 kg 的 Pragyan 月球车只能竖直装在着陆器内部象限，并直接固定在坡道主面板上。坡道因此同时承担两种角色：发射/转移/着陆阶段的承力结构，以及着陆后的展开通道。</w:t>
      </w:r>
    </w:p>
    <w:p>
      <w:r>
        <w:rPr>
          <w:rFonts w:ascii="Calibri" w:hAnsi="Calibri" w:eastAsia="Microsoft YaHei"/>
        </w:rPr>
        <w:t>月球车静态稳定角约 50°。为应对着陆点 ±15°地形坡度，作者把坡道名义坡角限制为 30°，留出约 20°稳定裕度。铰链离月面约 1250 mm，因此总坡道需约 2500 mm，而发射包络只允许单段不超过 1500 mm，最终采用主、次两面板折叠方案。</w:t>
      </w:r>
    </w:p>
    <w:p>
      <w:pPr>
        <w:pStyle w:val="Heading1"/>
      </w:pPr>
      <w:r>
        <w:t>概念选择</w:t>
      </w:r>
    </w:p>
    <w:p>
      <w:r>
        <w:rPr>
          <w:rFonts w:ascii="Calibri" w:hAnsi="Calibri" w:eastAsia="Microsoft YaHei"/>
        </w:rPr>
        <w:t>作者比较两种展开方式：</w:t>
      </w:r>
    </w:p>
    <w:p>
      <w:pPr>
        <w:pStyle w:val="ListBullet"/>
      </w:pPr>
      <w:r>
        <w:rPr>
          <w:rFonts w:ascii="Calibri" w:hAnsi="Calibri" w:eastAsia="Microsoft YaHei"/>
        </w:rPr>
        <w:t>方案 1：次面板由电机先转 180°并锁定，再由主铰链把主面板、月球车和次面板整体放下。</w:t>
      </w:r>
    </w:p>
    <w:p>
      <w:pPr>
        <w:pStyle w:val="ListBullet"/>
      </w:pPr>
      <w:r>
        <w:rPr>
          <w:rFonts w:ascii="Calibri" w:hAnsi="Calibri" w:eastAsia="Microsoft YaHei"/>
        </w:rPr>
        <w:t>方案 2：主面板电机驱动，次面板依靠重力沿滑轨展开。</w:t>
      </w:r>
    </w:p>
    <w:p>
      <w:r>
        <w:rPr>
          <w:rFonts w:ascii="Calibri" w:hAnsi="Calibri" w:eastAsia="Microsoft YaHei"/>
        </w:rPr>
        <w:t>方案 2 受滑动摩擦、着陆坡度和局部地形影响，若为不确定性再增加执行器，会提高复杂度。方案 1 的转动过程只要电机有足够重力矩裕度，受地形影响较小，因此被采用。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5913120"/>
            <wp:docPr id="1" name="Picture 1" descr="坡道长度约束、双面板收拢和两种展开概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3 页。2500 mm 总长与 1500 mm 收纳包络的矛盾，直接驱动了双面板构型。</w:t>
      </w:r>
    </w:p>
    <w:p>
      <w:pPr>
        <w:pStyle w:val="Heading1"/>
      </w:pPr>
      <w:r>
        <w:t>关键子系统</w:t>
      </w:r>
    </w:p>
    <w:p>
      <w:pPr>
        <w:pStyle w:val="Heading2"/>
      </w:pPr>
      <w:r>
        <w:t>面板与承力路径</w:t>
      </w:r>
    </w:p>
    <w:p>
      <w:r>
        <w:rPr>
          <w:rFonts w:ascii="Calibri" w:hAnsi="Calibri" w:eastAsia="Microsoft YaHei"/>
        </w:rPr>
        <w:t>主面板为 1130 × 870 × 40 mm，AA-6061 铝蜂窝/CFRP 面板，质量 4.4 kg；次面板为 1310 × 930 × 15 mm，质量 1.5 kg。两者均设 CFRP 导轨。月球车以 3 个点固定在主面板，坡道以 4 个保持点固定在着陆器，布置上尽量让坡道保持点对齐月球车保持点，以缩短载荷路径。</w:t>
      </w:r>
    </w:p>
    <w:p>
      <w:pPr>
        <w:pStyle w:val="Heading2"/>
      </w:pPr>
      <w:r>
        <w:t>保持与释放</w:t>
      </w:r>
    </w:p>
    <w:p>
      <w:r>
        <w:rPr>
          <w:rFonts w:ascii="Calibri" w:hAnsi="Calibri" w:eastAsia="Microsoft YaHei"/>
        </w:rPr>
        <w:t>4 个非爆炸式 SMA Frangibolt HDRM 在通电加热后伸长并拉断带缺口钛合金螺栓；弹簧提供初始分离。释放顺序是底部 BL/BR → 次面板展开 → 顶部 TL/TR → 主面板展开。接触开关回报释放状态，执行器储存温度必须受控以避免自触发。</w:t>
      </w:r>
    </w:p>
    <w:p>
      <w:pPr>
        <w:pStyle w:val="Heading2"/>
      </w:pPr>
      <w:r>
        <w:t>驱动与下滑约束</w:t>
      </w:r>
    </w:p>
    <w:p>
      <w:r>
        <w:rPr>
          <w:rFonts w:ascii="Calibri" w:hAnsi="Calibri" w:eastAsia="Microsoft YaHei"/>
        </w:rPr>
        <w:t>主、次铰链均使用步进电机与谐波减速器。主面板展开经历“主动抬离不稳定平衡点”和“控制重力下放”两个阶段；理论最大需求力矩约 50 N·m，驱动器通电保持力矩为 75 N·m。</w:t>
      </w:r>
    </w:p>
    <w:p>
      <w:r>
        <w:rPr>
          <w:rFonts w:ascii="Calibri" w:hAnsi="Calibri" w:eastAsia="Microsoft YaHei"/>
        </w:rPr>
        <w:t>30°坡面上的轮—面摩擦不足以阻止月球车滑落，因此后轮缠绕约 2 m Kevlar 绳。车轮滚动时绳索逐步放出，在后轮接触月面前从轮齿槽脱开，实现无需额外主动制动器的速度约束。</w:t>
      </w:r>
    </w:p>
    <w:p>
      <w:pPr>
        <w:pStyle w:val="Heading1"/>
      </w:pPr>
      <w:r>
        <w:t>分析与地面验证</w:t>
      </w:r>
    </w:p>
    <w:p>
      <w:pPr>
        <w:pStyle w:val="ListBullet"/>
      </w:pPr>
      <w:r>
        <w:rPr>
          <w:rFonts w:ascii="Calibri" w:hAnsi="Calibri" w:eastAsia="Microsoft YaHei"/>
        </w:rPr>
        <w:t>有限元按三个方向分别施加 25 g 准静态惯性载荷；保持点承担 Yaw 方向约 92%载荷，峰值拔出力 3527 N，对应螺栓预紧力取 5400 N。</w:t>
      </w:r>
    </w:p>
    <w:p>
      <w:pPr>
        <w:pStyle w:val="ListBullet"/>
      </w:pPr>
      <w:r>
        <w:rPr>
          <w:rFonts w:ascii="Calibri" w:hAnsi="Calibri" w:eastAsia="Microsoft YaHei"/>
        </w:rPr>
        <w:t>刚性边界模型估计主/次模态为 61/73 Hz；系统振动试验因着陆器面板柔性，实测首模态约 42.8/60.8 Hz。</w:t>
      </w:r>
    </w:p>
    <w:p>
      <w:pPr>
        <w:pStyle w:val="ListBullet"/>
      </w:pPr>
      <w:r>
        <w:rPr>
          <w:rFonts w:ascii="Calibri" w:hAnsi="Calibri" w:eastAsia="Microsoft YaHei"/>
        </w:rPr>
        <w:t>用氦气球抵消地球重力：次面板所需总升力 43.9 N；主面板连同 22 kg 配重后所需总升力 404.2 N。</w:t>
      </w:r>
    </w:p>
    <w:p>
      <w:pPr>
        <w:pStyle w:val="ListBullet"/>
      </w:pPr>
      <w:r>
        <w:rPr>
          <w:rFonts w:ascii="Calibri" w:hAnsi="Calibri" w:eastAsia="Microsoft YaHei"/>
        </w:rPr>
        <w:t>热真空进行了 −45°C 至 65°C 的 3 个循环，并在 −45°C 浸泡 12 h 后做性能试验；驱动机构无明显退化。</w:t>
      </w:r>
    </w:p>
    <w:p>
      <w:pPr>
        <w:pStyle w:val="ListBullet"/>
      </w:pPr>
      <w:r>
        <w:rPr>
          <w:rFonts w:ascii="Calibri" w:hAnsi="Calibri" w:eastAsia="Microsoft YaHei"/>
        </w:rPr>
        <w:t>原型飞行级正弦振动后 4 个保持点均正常释放；692 mm 跌落试验达到 2.5 m·s⁻¹，前后预紧力下降小于 5%。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5913120"/>
            <wp:docPr id="2" name="Picture 2" descr="鉴定试验流程、热真空曲线与任务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10 页，体现从部组件试验到系统环境验证的证据链。</w:t>
      </w:r>
    </w:p>
    <w:p>
      <w:pPr>
        <w:pStyle w:val="Heading1"/>
      </w:pPr>
      <w:r>
        <w:t>月面实际执行</w:t>
      </w:r>
    </w:p>
    <w:p>
      <w:r>
        <w:rPr>
          <w:rFonts w:ascii="Calibri" w:hAnsi="Calibri" w:eastAsia="Microsoft YaHei"/>
        </w:rPr>
        <w:t>着陆约 2 h 后，待月尘沉降且热状态合适，系统开始展开。次面板指令 12,000 步，其中先转 150 步确认起动，再转 11,850 步；电位计测得净展开 175.3°，与地面 176.6°接近。月面 Frangibolt 动作约 35 s，略慢于室温地面 27–30 s。</w:t>
      </w:r>
    </w:p>
    <w:p>
      <w:r>
        <w:rPr>
          <w:rFonts w:ascii="Calibri" w:hAnsi="Calibri" w:eastAsia="Microsoft YaHei"/>
        </w:rPr>
        <w:t>主面板转动 17,600 步（110°指令）；电位计在 168 s 内由 2.7°变至 103°，取消电机保持后稳定在 122.2°。月球车随后成功驶出，并完成一个月昼的巡视。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5913120"/>
            <wp:docPr id="3" name="Picture 3" descr="月面主坡道展开与月球车视角下的完整坡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11 页，左侧为主面板展开，右侧为月面实际部署完成状态。</w:t>
      </w:r>
    </w:p>
    <w:p>
      <w:pPr>
        <w:pStyle w:val="Heading1"/>
      </w:pPr>
      <w:r>
        <w:t>最有价值的工程经验</w:t>
      </w:r>
    </w:p>
    <w:p>
      <w:pPr>
        <w:pStyle w:val="ListNumber"/>
      </w:pPr>
      <w:r>
        <w:rPr>
          <w:rFonts w:ascii="Calibri" w:hAnsi="Calibri" w:eastAsia="Microsoft YaHei"/>
        </w:rPr>
        <w:t>把承力与部署合并：月球车直接固定在主面板，减少独立承力支架，但也让面板和保持系统承受全任务载荷。</w:t>
      </w:r>
    </w:p>
    <w:p>
      <w:pPr>
        <w:pStyle w:val="ListNumber"/>
      </w:pPr>
      <w:r>
        <w:rPr>
          <w:rFonts w:ascii="Calibri" w:hAnsi="Calibri" w:eastAsia="Microsoft YaHei"/>
        </w:rPr>
        <w:t>采用可观测的顺序机构：接触开关、电位计、温度和电机状态让地面团队能逐步确认再推进。</w:t>
      </w:r>
    </w:p>
    <w:p>
      <w:pPr>
        <w:pStyle w:val="ListNumber"/>
      </w:pPr>
      <w:r>
        <w:rPr>
          <w:rFonts w:ascii="Calibri" w:hAnsi="Calibri" w:eastAsia="Microsoft YaHei"/>
        </w:rPr>
        <w:t>地面低重力模拟匹配的是“铰链力矩”，不是简单减轻总质量；氦气球连接位置和附加夹具质量都进入力矩平衡。</w:t>
      </w:r>
    </w:p>
    <w:p>
      <w:pPr>
        <w:pStyle w:val="ListNumber"/>
      </w:pPr>
      <w:r>
        <w:rPr>
          <w:rFonts w:ascii="Calibri" w:hAnsi="Calibri" w:eastAsia="Microsoft YaHei"/>
        </w:rPr>
        <w:t>分析值与系统试验值不一致并非失败。首模态下降揭示了着陆器 deck 柔性，系统级试验正是为捕捉组件边界条件遗漏。</w:t>
      </w:r>
    </w:p>
    <w:p>
      <w:pPr>
        <w:pStyle w:val="Heading1"/>
      </w:pPr>
      <w:r>
        <w:t>局限与可追问问题</w:t>
      </w:r>
    </w:p>
    <w:p>
      <w:r>
        <w:rPr>
          <w:rFonts w:ascii="Calibri" w:hAnsi="Calibri" w:eastAsia="Microsoft YaHei"/>
        </w:rPr>
        <w:t>论文证明了单次任务成功，但统计可靠性仍主要来自鉴定流程与设计裕度，无法由一次月面部署给出。文中对月尘罩的结构与密封效果、Kevlar 绳释放的月面遥测、坡面接地状态和月球车实际下行速度披露有限。后续研究可重点比较：多次可复用部署、不同着陆倾角下的接触动力学，以及保持点/电机/传感器的故障容错策略。</w:t>
      </w:r>
    </w:p>
    <w:p>
      <w:pPr>
        <w:pStyle w:val="Heading1"/>
      </w:pPr>
      <w:r>
        <w:t>来源与使用说明</w:t>
      </w:r>
    </w:p>
    <w:p>
      <w:r>
        <w:rPr>
          <w:rFonts w:ascii="Calibri" w:hAnsi="Calibri" w:eastAsia="Microsoft YaHei"/>
        </w:rPr>
        <w:t>本笔记依据本地保存的原论文整理；图片均为原文关键页面的本地渲染，仅用于团队内部学习、讨论和设计参考。笔记中的评价与启发属于阅读分析，不等同于作者原文结论。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770"/>
        <w:sz w:val="17"/>
      </w:rPr>
      <w:t xml:space="preserve">内部学习资料  |  第 </w:t>
    </w:r>
    <w:r/>
    <w:fldSimple w:instr="PAGE"/>
    <w:r>
      <w:rPr>
        <w:rFonts w:ascii="Calibri" w:hAnsi="Calibri" w:eastAsia="Microsoft YaHei"/>
        <w:color w:val="6067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06770"/>
        <w:sz w:val="17"/>
      </w:rPr>
      <w:t>文献阅读笔记  |  水陆两栖应急配送舰队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A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200"/>
      <w:jc w:val="center"/>
    </w:pPr>
    <w:rPr>
      <w:rFonts w:ascii="Calibri" w:hAnsi="Calibri" w:eastAsia="Microsoft YaHei"/>
      <w:i/>
      <w:color w:val="60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