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Microsoft YaHei"/>
          <w:b/>
          <w:color w:val="2E74B5"/>
          <w:sz w:val="20"/>
        </w:rPr>
        <w:t>文献阅读笔记</w:t>
      </w:r>
    </w:p>
    <w:p>
      <w:pPr>
        <w:keepNext/>
        <w:spacing w:before="0" w:after="160"/>
      </w:pPr>
      <w:r>
        <w:rPr>
          <w:rFonts w:ascii="Calibri" w:hAnsi="Calibri" w:eastAsia="Microsoft YaHei"/>
          <w:b/>
          <w:color w:val="1A1F24"/>
          <w:sz w:val="46"/>
        </w:rPr>
        <w:t>面向自主制造的视觉—激光雷达移动机器人对接充电</w:t>
      </w:r>
    </w:p>
    <w:p>
      <w:pPr>
        <w:spacing w:after="240" w:line="276" w:lineRule="auto"/>
      </w:pPr>
      <w:r>
        <w:rPr>
          <w:rFonts w:ascii="Calibri" w:hAnsi="Calibri" w:eastAsia="Microsoft YaHei"/>
          <w:b/>
          <w:color w:val="2E74B5"/>
          <w:sz w:val="19"/>
        </w:rPr>
        <w:t xml:space="preserve">文献信息  </w:t>
      </w:r>
      <w:r>
        <w:rPr>
          <w:rFonts w:ascii="Calibri" w:hAnsi="Calibri" w:eastAsia="Microsoft YaHei"/>
          <w:color w:val="606770"/>
          <w:sz w:val="19"/>
        </w:rPr>
        <w:t>Feiyu Jia, Misha Afaq, Ben Ripka, Quamrul Huda, Rafiq Ahmad. “Vision- and Lidar-Based Autonomous Docking and Recharging of a Mobile Robot for Machine Tending in Autonomous Manufacturing Environments.” *Applied Sciences*, 13(19), 10675, 2023. DOI: 10.3390/app131910675。</w:t>
      </w:r>
    </w:p>
    <w:p>
      <w:pPr>
        <w:shd w:fill="E8EEF5"/>
        <w:spacing w:before="80" w:after="180" w:line="288" w:lineRule="auto"/>
        <w:ind w:left="160" w:right="160"/>
      </w:pPr>
      <w:r>
        <w:rPr>
          <w:rFonts w:ascii="Calibri" w:hAnsi="Calibri" w:eastAsia="Microsoft YaHei"/>
          <w:b/>
          <w:color w:val="2E74B5"/>
          <w:sz w:val="20"/>
        </w:rPr>
        <w:t xml:space="preserve">一句话概括  </w:t>
      </w:r>
      <w:r>
        <w:rPr>
          <w:rFonts w:ascii="Calibri" w:hAnsi="Calibri" w:eastAsia="Microsoft YaHei"/>
          <w:b/>
          <w:color w:val="1A1F24"/>
          <w:sz w:val="23"/>
        </w:rPr>
        <w:t>系统让 YOLOv7 从相机图像中回答“正确充电站在哪里”，再让 3D 激光雷达和七状态几何控制回答“怎样精确靠上去”；充电站检测在验证集达到 99.4% mAP@0.5，真实移动场景平均识别准确率为 95%。</w:t>
      </w:r>
    </w:p>
    <w:p>
      <w:pPr>
        <w:pStyle w:val="Heading1"/>
      </w:pPr>
      <w:r>
        <w:t>研究动机</w:t>
      </w:r>
    </w:p>
    <w:p>
      <w:r>
        <w:rPr>
          <w:rFonts w:ascii="Calibri" w:hAnsi="Calibri" w:eastAsia="Microsoft YaHei"/>
        </w:rPr>
        <w:t>制造环境中的移动机器人要连续执行机床上下料等任务，必须自主寻找充电站并精确对接。单一传感器各有短板：相机信息丰富且便宜，但怕低照度、运动模糊和视场盲区；激光雷达测距精确、不依赖照明，但点云稀疏、成本和计算负担较高。作者因此用视觉做语义识别，用激光雷达做末端几何定位。</w:t>
      </w:r>
    </w:p>
    <w:p>
      <w:r>
        <w:rPr>
          <w:rFonts w:ascii="Calibri" w:hAnsi="Calibri" w:eastAsia="Microsoft YaHei"/>
        </w:rPr>
        <w:t>实验平台是 Clearpath Husky UGV，搭载 Hikvision 相机、Ouster 3D 激光雷达并运行 ROS Melodic；无线充电器安装在带侧壁的定制舱体内。</w:t>
      </w:r>
    </w:p>
    <w:p>
      <w:pPr>
        <w:pStyle w:val="Heading1"/>
      </w:pPr>
      <w:r>
        <w:t>方法架构</w:t>
      </w:r>
    </w:p>
    <w:p>
      <w:r>
        <w:rPr>
          <w:rFonts w:ascii="Calibri" w:hAnsi="Calibri" w:eastAsia="Microsoft YaHei"/>
        </w:rPr>
        <w:t>流程分三部分：相机/雷达采集环境数据；YOLOv7 识别无线充电站；激光雷达根据墙面和充电器距离调整机器人姿态并完成靠站。相机内参和雷达坐标通过变换矩阵关联，可由检测框映射目标的 3D 坐标。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6273116"/>
            <wp:docPr id="1" name="Picture 1" descr="视觉检测、激光雷达定位与整体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27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i/>
          <w:color w:val="606770"/>
          <w:sz w:val="18"/>
        </w:rPr>
        <w:t>图：原文第 6 页，给出整体框图与 YOLOv7 充电站检测流程。</w:t>
      </w:r>
    </w:p>
    <w:p>
      <w:pPr>
        <w:pStyle w:val="Heading1"/>
      </w:pPr>
      <w:r>
        <w:t>七状态激光雷达对接</w:t>
      </w:r>
    </w:p>
    <w:p>
      <w:r>
        <w:rPr>
          <w:rFonts w:ascii="Calibri" w:hAnsi="Calibri" w:eastAsia="Microsoft YaHei"/>
        </w:rPr>
        <w:t xml:space="preserve">点云被滤出四个距离量：前向斜线 </w:t>
      </w:r>
      <w:r>
        <w:rPr>
          <w:rFonts w:ascii="Calibri" w:hAnsi="Calibri" w:eastAsia="Microsoft YaHei"/>
          <w:color w:val="1F4D78"/>
        </w:rPr>
        <w:t>Front_laser</w:t>
      </w:r>
      <w:r>
        <w:rPr>
          <w:rFonts w:ascii="Calibri" w:hAnsi="Calibri" w:eastAsia="Microsoft YaHei"/>
        </w:rPr>
        <w:t xml:space="preserve">、后向斜线 </w:t>
      </w:r>
      <w:r>
        <w:rPr>
          <w:rFonts w:ascii="Calibri" w:hAnsi="Calibri" w:eastAsia="Microsoft YaHei"/>
          <w:color w:val="1F4D78"/>
        </w:rPr>
        <w:t>Back_laser</w:t>
      </w:r>
      <w:r>
        <w:rPr>
          <w:rFonts w:ascii="Calibri" w:hAnsi="Calibri" w:eastAsia="Microsoft YaHei"/>
        </w:rPr>
        <w:t xml:space="preserve">、侧墙 </w:t>
      </w:r>
      <w:r>
        <w:rPr>
          <w:rFonts w:ascii="Calibri" w:hAnsi="Calibri" w:eastAsia="Microsoft YaHei"/>
          <w:color w:val="1F4D78"/>
        </w:rPr>
        <w:t>Wall_laser</w:t>
      </w:r>
      <w:r>
        <w:rPr>
          <w:rFonts w:ascii="Calibri" w:hAnsi="Calibri" w:eastAsia="Microsoft YaHei"/>
        </w:rPr>
        <w:t xml:space="preserve"> 和充电器 </w:t>
      </w:r>
      <w:r>
        <w:rPr>
          <w:rFonts w:ascii="Calibri" w:hAnsi="Calibri" w:eastAsia="Microsoft YaHei"/>
          <w:color w:val="1F4D78"/>
        </w:rPr>
        <w:t>Charger_laser</w:t>
      </w:r>
      <w:r>
        <w:rPr>
          <w:rFonts w:ascii="Calibri" w:hAnsi="Calibri" w:eastAsia="Microsoft YaHei"/>
        </w:rPr>
        <w:t>。控制状态机如下：</w:t>
      </w:r>
    </w:p>
    <w:p>
      <w:pPr>
        <w:pStyle w:val="ListNumber"/>
      </w:pPr>
      <w:r>
        <w:rPr>
          <w:rFonts w:ascii="Calibri" w:hAnsi="Calibri" w:eastAsia="Microsoft YaHei"/>
        </w:rPr>
        <w:t>比较前/后斜线距离，先把机器人调正。</w:t>
      </w:r>
    </w:p>
    <w:p>
      <w:pPr>
        <w:pStyle w:val="ListNumber"/>
      </w:pPr>
      <w:r>
        <w:rPr>
          <w:rFonts w:ascii="Calibri" w:hAnsi="Calibri" w:eastAsia="Microsoft YaHei"/>
        </w:rPr>
        <w:t xml:space="preserve">根据 </w:t>
      </w:r>
      <w:r>
        <w:rPr>
          <w:rFonts w:ascii="Calibri" w:hAnsi="Calibri" w:eastAsia="Microsoft YaHei"/>
          <w:color w:val="1F4D78"/>
        </w:rPr>
        <w:t>Wall_laser</w:t>
      </w:r>
      <w:r>
        <w:rPr>
          <w:rFonts w:ascii="Calibri" w:hAnsi="Calibri" w:eastAsia="Microsoft YaHei"/>
        </w:rPr>
        <w:t xml:space="preserve"> 与已知目标距离判断机器人在充电器左侧还是右侧。</w:t>
      </w:r>
    </w:p>
    <w:p>
      <w:pPr>
        <w:pStyle w:val="ListNumber"/>
      </w:pPr>
      <w:r>
        <w:rPr>
          <w:rFonts w:ascii="Calibri" w:hAnsi="Calibri" w:eastAsia="Microsoft YaHei"/>
        </w:rPr>
        <w:t>向相应方向转 90°附近，使一条斜线与墙距相等。</w:t>
      </w:r>
    </w:p>
    <w:p>
      <w:pPr>
        <w:pStyle w:val="ListNumber"/>
      </w:pPr>
      <w:r>
        <w:rPr>
          <w:rFonts w:ascii="Calibri" w:hAnsi="Calibri" w:eastAsia="Microsoft YaHei"/>
        </w:rPr>
        <w:t>直线横移到目标侧向位置。</w:t>
      </w:r>
    </w:p>
    <w:p>
      <w:pPr>
        <w:pStyle w:val="ListNumber"/>
      </w:pPr>
      <w:r>
        <w:rPr>
          <w:rFonts w:ascii="Calibri" w:hAnsi="Calibri" w:eastAsia="Microsoft YaHei"/>
        </w:rPr>
        <w:t>再次调正，使机器人与充电器正对。</w:t>
      </w:r>
    </w:p>
    <w:p>
      <w:pPr>
        <w:pStyle w:val="ListNumber"/>
      </w:pPr>
      <w:r>
        <w:rPr>
          <w:rFonts w:ascii="Calibri" w:hAnsi="Calibri" w:eastAsia="Microsoft YaHei"/>
        </w:rPr>
        <w:t>直行至距离充电器 2–3 cm。</w:t>
      </w:r>
    </w:p>
    <w:p>
      <w:pPr>
        <w:pStyle w:val="ListNumber"/>
      </w:pPr>
      <w:r>
        <w:rPr>
          <w:rFonts w:ascii="Calibri" w:hAnsi="Calibri" w:eastAsia="Microsoft YaHei"/>
        </w:rPr>
        <w:t>停车并把状态置为 docked。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6273116"/>
            <wp:docPr id="2" name="Picture 2" descr="七状态激光雷达对接逻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27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i/>
          <w:color w:val="606770"/>
          <w:sz w:val="18"/>
        </w:rPr>
        <w:t>图：原文第 9 页，状态机把复杂的二维位姿修正拆为可解释的旋转和平移。</w:t>
      </w:r>
    </w:p>
    <w:p>
      <w:pPr>
        <w:pStyle w:val="Heading1"/>
      </w:pPr>
      <w:r>
        <w:t>数据集与模型训练</w:t>
      </w:r>
    </w:p>
    <w:p>
      <w:r>
        <w:rPr>
          <w:rFonts w:ascii="Calibri" w:hAnsi="Calibri" w:eastAsia="Microsoft YaHei"/>
        </w:rPr>
        <w:t>由于没有公开的同类充电站数据集，作者采集 240 张 1920 × 1018 图像：160 张训练、40 张验证、40 张测试，使用 LabelImg 标注。数据增强包括旋转、平移、缩放、垂直翻转、Gaussian 模糊和噪声。模型基于 COCO 预训练权重做迁移学习。</w:t>
      </w:r>
    </w:p>
    <w:p>
      <w:r>
        <w:rPr>
          <w:rFonts w:ascii="Calibri" w:hAnsi="Calibri" w:eastAsia="Microsoft YaHei"/>
        </w:rPr>
        <w:t>训练硬件为 RTX 3090、Threadripper 3970X 和 128 GB RAM；学习率 0.001、动量 0.9、batch size 16，并比较 100–300 以上 epoch。约 300 epoch 时训练/验证损失稳定；再继续训练，验证损失回升，出现过拟合。</w:t>
      </w:r>
    </w:p>
    <w:p>
      <w:pPr>
        <w:pStyle w:val="Heading1"/>
      </w:pPr>
      <w:r>
        <w:t>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A1F24"/>
                <w:sz w:val="19"/>
              </w:rPr>
              <w:t>指标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A1F24"/>
                <w:sz w:val="19"/>
              </w:rPr>
              <w:t>结果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验证集 mAP@0.5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99.4%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验证集 mAP@0.5:0.95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86.5%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真实移动视频平均识别准确率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95%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末端停止距离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A1F24"/>
                <w:sz w:val="19"/>
              </w:rPr>
              <w:t>充电器前 2–3 cm（算法设定）</w:t>
            </w:r>
          </w:p>
        </w:tc>
      </w:tr>
    </w:tbl>
    <w:p>
      <w:pPr>
        <w:spacing w:before="80"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6273116"/>
            <wp:docPr id="3" name="Picture 3" descr="训练曲线、mAP结果与实时识别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27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libri" w:hAnsi="Calibri" w:eastAsia="Microsoft YaHei"/>
          <w:i/>
          <w:color w:val="606770"/>
          <w:sz w:val="18"/>
        </w:rPr>
        <w:t>图：原文第 13 页，训练损失在约 300 epoch 收敛，并给出检测性能。</w:t>
      </w:r>
    </w:p>
    <w:p>
      <w:pPr>
        <w:pStyle w:val="Heading1"/>
      </w:pPr>
      <w:r>
        <w:t>贡献如何评价</w:t>
      </w:r>
    </w:p>
    <w:p>
      <w:r>
        <w:rPr>
          <w:rFonts w:ascii="Calibri" w:hAnsi="Calibri" w:eastAsia="Microsoft YaHei"/>
        </w:rPr>
        <w:t>论文的合理分工是最大亮点：视觉负责在多个外观相近目标中选择正确充电站，点云负责精确距离与姿态控制。七状态控制器规则透明，易于在 ROS 中调试，比端到端策略更容易定位失败原因。</w:t>
      </w:r>
    </w:p>
    <w:p>
      <w:r>
        <w:rPr>
          <w:rFonts w:ascii="Calibri" w:hAnsi="Calibri" w:eastAsia="Microsoft YaHei"/>
        </w:rPr>
        <w:t>与 2005 年的视觉地标对接论文相比，本研究不要求固定色彩图案，目标识别更灵活；但末端几何控制仍依赖人工设计的充电舱侧壁，说明“深度学习识别”没有消除环境工程化要求。</w:t>
      </w:r>
    </w:p>
    <w:p>
      <w:pPr>
        <w:pStyle w:val="Heading1"/>
      </w:pPr>
      <w:r>
        <w:t>局限与批判性阅读</w:t>
      </w:r>
    </w:p>
    <w:p>
      <w:pPr>
        <w:pStyle w:val="ListBullet"/>
      </w:pPr>
      <w:r>
        <w:rPr>
          <w:rFonts w:ascii="Calibri" w:hAnsi="Calibri" w:eastAsia="Microsoft YaHei"/>
        </w:rPr>
        <w:t>数据集仅 240 张、单类目标且来自特定场景，99.4% mAP 不代表跨工厂、跨相机或跨充电器泛化。</w:t>
      </w:r>
    </w:p>
    <w:p>
      <w:pPr>
        <w:pStyle w:val="ListBullet"/>
      </w:pPr>
      <w:r>
        <w:rPr>
          <w:rFonts w:ascii="Calibri" w:hAnsi="Calibri" w:eastAsia="Microsoft YaHei"/>
        </w:rPr>
        <w:t>文中报告了识别准确率，却没有系统给出端到端对接成功率、对接耗时、初始位姿工作域和重复试验统计。</w:t>
      </w:r>
    </w:p>
    <w:p>
      <w:pPr>
        <w:pStyle w:val="ListBullet"/>
      </w:pPr>
      <w:r>
        <w:rPr>
          <w:rFonts w:ascii="Calibri" w:hAnsi="Calibri" w:eastAsia="Microsoft YaHei"/>
        </w:rPr>
        <w:t xml:space="preserve">方法假设充电站位于封闭空间并有可测侧墙；开放式站点或动态遮挡会破坏 </w:t>
      </w:r>
      <w:r>
        <w:rPr>
          <w:rFonts w:ascii="Calibri" w:hAnsi="Calibri" w:eastAsia="Microsoft YaHei"/>
          <w:color w:val="1F4D78"/>
        </w:rPr>
        <w:t>Wall_laser</w:t>
      </w:r>
      <w:r>
        <w:rPr>
          <w:rFonts w:ascii="Calibri" w:hAnsi="Calibri" w:eastAsia="Microsoft YaHei"/>
        </w:rPr>
        <w:t xml:space="preserve"> 逻辑。</w:t>
      </w:r>
    </w:p>
    <w:p>
      <w:pPr>
        <w:pStyle w:val="ListBullet"/>
      </w:pPr>
      <w:r>
        <w:rPr>
          <w:rFonts w:ascii="Calibri" w:hAnsi="Calibri" w:eastAsia="Microsoft YaHei"/>
        </w:rPr>
        <w:t>论文称融合可降低计算成本，但缺少与纯点云、纯视觉方案的延迟、算力和能耗对照。</w:t>
      </w:r>
    </w:p>
    <w:p>
      <w:pPr>
        <w:pStyle w:val="ListBullet"/>
      </w:pPr>
      <w:r>
        <w:rPr>
          <w:rFonts w:ascii="Calibri" w:hAnsi="Calibri" w:eastAsia="Microsoft YaHei"/>
        </w:rPr>
        <w:t>低照度和运动模糊仍会影响检测；相机—雷达标定在论文中更像方法框架，作者也把更完整标定列为后续工作。</w:t>
      </w:r>
    </w:p>
    <w:p>
      <w:pPr>
        <w:pStyle w:val="Heading1"/>
      </w:pPr>
      <w:r>
        <w:t>可复现与改进建议</w:t>
      </w:r>
    </w:p>
    <w:p>
      <w:r>
        <w:rPr>
          <w:rFonts w:ascii="Calibri" w:hAnsi="Calibri" w:eastAsia="Microsoft YaHei"/>
        </w:rPr>
        <w:t>复现时应先做三组基线：仅视觉、仅雷达、视觉+雷达；每组在统一的初始距离/角度网格上至少重复若干次，报告成功率、耗时、最终横向/角度误差和计算延迟。工程升级可加入 AprilTag 或主动红外作为低照度备份，采用自动外参标定、鲁棒平面拟合和接触/充电电流确认，最终把“检测成功”提升为“真正建立稳定充电连接”。</w:t>
      </w:r>
    </w:p>
    <w:p>
      <w:pPr>
        <w:pStyle w:val="Heading1"/>
      </w:pPr>
      <w:r>
        <w:t>来源与使用说明</w:t>
      </w:r>
    </w:p>
    <w:p>
      <w:r>
        <w:rPr>
          <w:rFonts w:ascii="Calibri" w:hAnsi="Calibri" w:eastAsia="Microsoft YaHei"/>
        </w:rPr>
        <w:t>本笔记依据本地保存的原论文整理；图片均为原文关键页面的本地渲染，仅用于团队内部学习、讨论和设计参考。笔记中的评价与启发属于阅读分析，不等同于作者原文结论。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770"/>
        <w:sz w:val="17"/>
      </w:rPr>
      <w:t xml:space="preserve">内部学习资料  |  第 </w:t>
    </w:r>
    <w:r/>
    <w:fldSimple w:instr="PAGE"/>
    <w:r>
      <w:rPr>
        <w:rFonts w:ascii="Calibri" w:hAnsi="Calibri" w:eastAsia="Microsoft YaHei"/>
        <w:color w:val="6067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06770"/>
        <w:sz w:val="17"/>
      </w:rPr>
      <w:t>文献阅读笔记  |  水陆两栖应急配送舰队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A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200"/>
      <w:jc w:val="center"/>
    </w:pPr>
    <w:rPr>
      <w:rFonts w:ascii="Calibri" w:hAnsi="Calibri" w:eastAsia="Microsoft YaHei"/>
      <w:i/>
      <w:color w:val="6067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