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开发者Launcher商品上架与更新流程说明文档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更新时间：2018/3/19</w:t>
      </w:r>
    </w:p>
    <w:p>
      <w:p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*注意：测试流程需要另行接入网易测试服认证接口（详情参考服务器接入文档），在确认上传商品成功、测试服认证接入与商业化接口地址无误，测试商城指令可在游戏内正确触发、发货相关逻辑无问题后，再联系相关人员进行审核。</w:t>
      </w:r>
      <w:bookmarkStart w:id="0" w:name="_GoBack"/>
      <w:bookmarkEnd w:id="0"/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网络游戏正式上架后，在开发者Launcher左侧点击商品管理标签即可进入商品编辑界面。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一、分类编辑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在“橱窗编辑”标签内，点击“分类编辑”按钮对商城分类进行编辑；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可进行分类添加、分类重命名、分类删除等操作，确认后可点击保存按钮保存相关信息；</w:t>
      </w:r>
    </w:p>
    <w:p>
      <w:pPr>
        <w:jc w:val="both"/>
      </w:pPr>
      <w:r>
        <w:drawing>
          <wp:inline distT="0" distB="0" distL="114300" distR="114300">
            <wp:extent cx="1991995" cy="1703070"/>
            <wp:effectExtent l="0" t="0" r="825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91995" cy="170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启动器上分类信息位置如下：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875665"/>
            <wp:effectExtent l="0" t="0" r="381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75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分类编辑完毕后即可添加商品。</w:t>
      </w:r>
    </w:p>
    <w:p>
      <w:p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二、商品编辑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在“库存编辑”标签内，再点击“添加商品”按钮来添加商品；</w:t>
      </w:r>
    </w:p>
    <w:p>
      <w:pPr>
        <w:jc w:val="both"/>
      </w:pPr>
      <w:r>
        <w:drawing>
          <wp:inline distT="0" distB="0" distL="114300" distR="114300">
            <wp:extent cx="5266055" cy="995680"/>
            <wp:effectExtent l="0" t="0" r="1079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95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商品名称：商品在商城显示的名称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商品定价：商品在商城中的定价，单位为钻石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折扣：活动期间可设置商品折扣价格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购买次数：可限制商品的购买次数，如单个账号购买达到次数则在商城中隐藏该商品，不限次数填为</w:t>
      </w:r>
      <w:r>
        <w:rPr>
          <w:rFonts w:hint="eastAsia"/>
          <w:lang w:val="en-US" w:eastAsia="zh-CN"/>
        </w:rPr>
        <w:t>-1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名称与定价显示效果如下：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</w:pPr>
      <w:r>
        <w:drawing>
          <wp:inline distT="0" distB="0" distL="114300" distR="114300">
            <wp:extent cx="1163955" cy="1347470"/>
            <wp:effectExtent l="0" t="0" r="1714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3955" cy="1347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商品分类：确定该商品所归属的分类位置，分类完毕后可在橱窗编辑中编排其位置；</w:t>
      </w:r>
    </w:p>
    <w:p>
      <w:pPr>
        <w:jc w:val="both"/>
      </w:pPr>
      <w:r>
        <w:rPr>
          <w:rFonts w:hint="eastAsia"/>
          <w:lang w:eastAsia="zh-CN"/>
        </w:rPr>
        <w:t>商品简介：鼠标移到商品橱窗框内显示的简介信息，实际效果图如：</w:t>
      </w:r>
    </w:p>
    <w:p>
      <w:pPr>
        <w:jc w:val="both"/>
      </w:pPr>
      <w:r>
        <w:drawing>
          <wp:inline distT="0" distB="0" distL="114300" distR="114300">
            <wp:extent cx="1409700" cy="1503045"/>
            <wp:effectExtent l="0" t="0" r="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503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实现指令：向服务端传输的指令信息，具体详见接口说明文档。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付费类型：第三方服务器商品统一选择server commodity选项。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付费备注：审核时备注说明使用，目前暂无实际作用，可用随意字符代替。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详情信息：用富文本显示的商品详情信息（某些富文本格式显示不正常，请谨慎使用），在进入购买页面后显示，位置如下：</w:t>
      </w:r>
    </w:p>
    <w:p>
      <w:pPr>
        <w:jc w:val="both"/>
      </w:pPr>
      <w:r>
        <w:drawing>
          <wp:inline distT="0" distB="0" distL="114300" distR="114300">
            <wp:extent cx="5269230" cy="3215640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1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图片位置：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商城界面：商城橱窗显示图片；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商城介绍界面：购买页面显示的商城介绍图片。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全部上传完毕后点击保存，即可完成商品设置。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如果仍需编辑，可以点击编辑按钮进行修改；如确定信息无误，则点击提交审核按钮，等待审核通过后即可进行上架设置。</w:t>
      </w:r>
    </w:p>
    <w:p>
      <w:pPr>
        <w:jc w:val="both"/>
        <w:rPr>
          <w:rFonts w:hint="eastAsia"/>
          <w:lang w:eastAsia="zh-CN"/>
        </w:rPr>
      </w:pPr>
    </w:p>
    <w:p>
      <w:pPr>
        <w:jc w:val="both"/>
      </w:pPr>
      <w:r>
        <w:drawing>
          <wp:inline distT="0" distB="0" distL="114300" distR="114300">
            <wp:extent cx="5261610" cy="337185"/>
            <wp:effectExtent l="0" t="0" r="15240" b="571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3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审核中状态：</w:t>
      </w:r>
    </w:p>
    <w:p>
      <w:pPr>
        <w:jc w:val="both"/>
      </w:pPr>
      <w:r>
        <w:drawing>
          <wp:inline distT="0" distB="0" distL="114300" distR="114300">
            <wp:extent cx="5264150" cy="259080"/>
            <wp:effectExtent l="0" t="0" r="12700" b="762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审核通过：</w:t>
      </w:r>
    </w:p>
    <w:p>
      <w:pPr>
        <w:jc w:val="both"/>
      </w:pPr>
      <w:r>
        <w:drawing>
          <wp:inline distT="0" distB="0" distL="114300" distR="114300">
            <wp:extent cx="5271135" cy="286385"/>
            <wp:effectExtent l="0" t="0" r="5715" b="1841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6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点击上架后即可进行上架设置。</w:t>
      </w:r>
    </w:p>
    <w:p>
      <w:pPr>
        <w:jc w:val="both"/>
        <w:rPr>
          <w:rFonts w:hint="eastAsia"/>
          <w:lang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上架设置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商品成功上架后，可在橱窗编辑中修改其分类与位置，排序编号越小，在该分类中位置越靠前；也可在此处编辑分类相关信息；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353695"/>
            <wp:effectExtent l="0" t="0" r="8255" b="825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确认信息无误后，点击右上角保存并提交审核按钮，商城信息即可在测试服中同步；</w:t>
      </w: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59070" cy="402590"/>
            <wp:effectExtent l="0" t="0" r="1778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402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测试服接入测试环境地址（详见商业化接入文档</w:t>
      </w:r>
      <w:r>
        <w:rPr>
          <w:rFonts w:hint="eastAsia"/>
          <w:lang w:val="en-US" w:eastAsia="zh-CN"/>
        </w:rPr>
        <w:t>V2</w:t>
      </w:r>
      <w:r>
        <w:rPr>
          <w:rFonts w:hint="eastAsia"/>
          <w:lang w:eastAsia="zh-CN"/>
        </w:rPr>
        <w:t>）后即可使用测试版启动器进行自测，可以在组件管理中点击申请测试货币按钮，获取测试版启动器的货币。</w:t>
      </w: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4591050" cy="441325"/>
            <wp:effectExtent l="0" t="0" r="0" b="158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4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测试发货流程无问题，通过审核后点击上架按钮即可在正式启动器上更新商品信息。</w:t>
      </w:r>
    </w:p>
    <w:p>
      <w:pPr>
        <w:numPr>
          <w:ilvl w:val="0"/>
          <w:numId w:val="0"/>
        </w:numPr>
        <w:jc w:val="left"/>
        <w:rPr>
          <w:rFonts w:hint="eastAsia"/>
          <w:lang w:eastAsia="zh-CN"/>
        </w:rPr>
      </w:pPr>
      <w:r>
        <w:drawing>
          <wp:inline distT="0" distB="0" distL="114300" distR="114300">
            <wp:extent cx="5271770" cy="375920"/>
            <wp:effectExtent l="0" t="0" r="5080" b="508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5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如需要下架，在橱窗编辑分类中选择商品并点击下架，或在库存编辑中直接下架对应商品即可。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u w:val="single"/>
          <w:lang w:eastAsia="zh-CN"/>
        </w:rPr>
      </w:pPr>
      <w:r>
        <w:rPr>
          <w:rFonts w:hint="eastAsia"/>
          <w:b/>
          <w:bCs/>
          <w:u w:val="single"/>
          <w:lang w:eastAsia="zh-CN"/>
        </w:rPr>
        <w:t>注意：如需</w:t>
      </w:r>
      <w:r>
        <w:rPr>
          <w:rFonts w:hint="eastAsia"/>
          <w:b/>
          <w:bCs/>
          <w:color w:val="FF0000"/>
          <w:u w:val="single"/>
          <w:lang w:eastAsia="zh-CN"/>
        </w:rPr>
        <w:t>修改任何商品</w:t>
      </w:r>
      <w:r>
        <w:rPr>
          <w:rFonts w:hint="eastAsia"/>
          <w:b/>
          <w:bCs/>
          <w:u w:val="single"/>
          <w:lang w:eastAsia="zh-CN"/>
        </w:rPr>
        <w:t>信息，必须先下架商品；修改后需要重新提交审核，之后才可再次设置上架。</w:t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91438"/>
    <w:multiLevelType w:val="singleLevel"/>
    <w:tmpl w:val="5A391438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0000E"/>
    <w:rsid w:val="178A270F"/>
    <w:rsid w:val="200F6C0B"/>
    <w:rsid w:val="3EE97B32"/>
    <w:rsid w:val="424D2F9F"/>
    <w:rsid w:val="49B34F02"/>
    <w:rsid w:val="4A436F19"/>
    <w:rsid w:val="4D866DB6"/>
    <w:rsid w:val="7491515C"/>
    <w:rsid w:val="75627B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yanghanlin</dc:creator>
  <cp:lastModifiedBy>Tzuya</cp:lastModifiedBy>
  <dcterms:modified xsi:type="dcterms:W3CDTF">2018-05-09T06:34:13Z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