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Politiche Organizzative ISO/IEC 27001:2022</w:t>
      </w:r>
    </w:p>
    <w:p>
      <w:pPr>
        <w:spacing w:after="400"/>
      </w:pPr>
      <w:r>
        <w:t xml:space="preserve">Log Platform — Template da compilare con i dati dell'organizzazione</w:t>
      </w:r>
    </w:p>
    <w:p>
      <w:pPr>
        <w:spacing w:after="160"/>
      </w:pPr>
      <w:r>
        <w:t xml:space="preserve">Questo documento è un template: le tabelle contengono campi vuoti da compilare con dati reali. Per una certificazione ISO 27001 effettiva è comunque necessario un consulente o un RSPP che guidi il processo di audit interno e la valutazione dei rischi. Va letto insieme al documento tecnico iso27001-log-platform.pdf, che copre i controlli implementati nel codice.</w:t>
      </w:r>
    </w:p>
    <w:p>
      <w:r>
        <w:br w:type="page"/>
      </w:r>
    </w:p>
    <w:p>
      <w:pPr>
        <w:pStyle w:val="Heading1"/>
      </w:pPr>
      <w: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Politica di Sicurezza delle Informazioni</w:t>
      </w:r>
    </w:p>
    <w:p>
      <w:pPr>
        <w:spacing w:after="160"/>
      </w:pPr>
      <w:r>
        <w:t xml:space="preserve">Dichiarazione da approvare formalmente dalla direzione (A.5.1).</w:t>
      </w:r>
    </w:p>
    <w:p>
      <w:pPr>
        <w:spacing w:after="160"/>
      </w:pPr>
      <w:r>
        <w:t xml:space="preserve">"[Nome organizzazione] si impegna a proteggere la riservatezza, l'integrità e la disponibilità delle informazioni proprie e dei clienti trattate tramite la piattaforma Log Platform, in conformità ai principi di ISO/IEC 27001. La presente politica è riesaminata almeno annualmente." 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shd w:fill="D9E2F3" w:val="clear"/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6000"/>
            <w:shd w:fill="D9E2F3" w:val="clear"/>
          </w:tcPr>
          <w:p>
            <w:r>
              <w:rPr>
                <w:b/>
                <w:bCs/>
              </w:rPr>
              <w:t xml:space="preserve">Valore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Approvata da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________________________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Data approvazione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________________________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Prossimo riesame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________________________</w:t>
            </w:r>
          </w:p>
        </w:tc>
      </w:tr>
    </w:tbl>
    <w:p>
      <w:pPr>
        <w:pStyle w:val="Heading1"/>
      </w:pPr>
      <w:r>
        <w:t xml:space="preserve">2. Ruoli e Responsabilità</w:t>
      </w:r>
    </w:p>
    <w:p>
      <w:pPr>
        <w:spacing w:after="160"/>
      </w:pPr>
      <w:r>
        <w:t xml:space="preserve">Da compilare con i nominativi reali (A.5.2).</w:t>
      </w:r>
    </w:p>
    <w:p>
      <w:pPr>
        <w:spacing w:after="200"/>
      </w:pPr>
      <w:r>
        <w:rPr>
          <w:i/>
          <w:iCs/>
          <w:color w:val="555555"/>
        </w:rPr>
        <w:t xml:space="preserve">Nota: il Provvedimento Garante Privacy 27/11/2008 richiede un elenco nominativo degli amministratori di sistema, riesaminato almeno annualmente, e la conservazione dei loro log di accesso per almeno 6 mesi con garanzia di non alterabilità. La parte tecnica è coperta da scripts/provision-admin-log-stream.sh e scripts/seal-admin-logs.sh (vedi iso27001-log-platform.pdf) — qui va tracciato l'elenco nominativo.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2000"/>
      </w:tblGrid>
      <w:tr>
        <w:tc>
          <w:tcPr>
            <w:tcW w:type="dxa" w:w="3000"/>
            <w:shd w:fill="D9E2F3" w:val="clear"/>
          </w:tcPr>
          <w:p>
            <w:r>
              <w:rPr>
                <w:b/>
                <w:bCs/>
              </w:rPr>
              <w:t xml:space="preserve">Ruolo</w:t>
            </w:r>
          </w:p>
        </w:tc>
        <w:tc>
          <w:tcPr>
            <w:tcW w:type="dxa" w:w="4000"/>
            <w:shd w:fill="D9E2F3" w:val="clear"/>
          </w:tcPr>
          <w:p>
            <w:r>
              <w:rPr>
                <w:b/>
                <w:bCs/>
              </w:rPr>
              <w:t xml:space="preserve">Responsabilità principale</w:t>
            </w:r>
          </w:p>
        </w:tc>
        <w:tc>
          <w:tcPr>
            <w:tcW w:type="dxa" w:w="2000"/>
            <w:shd w:fill="D9E2F3" w:val="clear"/>
          </w:tcPr>
          <w:p>
            <w:r>
              <w:rPr>
                <w:b/>
                <w:bCs/>
              </w:rPr>
              <w:t xml:space="preserve">Nominativo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Responsabile Sicurezza Informazioni (ISO/CISO)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</w:rPr>
              <w:t xml:space="preserve">Supervisione generale, riesame periodico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________________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Amministratore di sistema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</w:rPr>
              <w:t xml:space="preserve">Gestione tecnica piattaforma, backup, patching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________________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Data Protection Officer (se applicabile)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</w:rPr>
              <w:t xml:space="preserve">Conformità privacy/GDPR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________________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Referente incidenti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</w:rPr>
              <w:t xml:space="preserve">Coordinamento risposta agli incidenti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________________</w:t>
            </w:r>
          </w:p>
        </w:tc>
      </w:tr>
    </w:tbl>
    <w:p>
      <w:pPr>
        <w:pStyle w:val="Heading2"/>
      </w:pPr>
      <w:r>
        <w:t xml:space="preserve">2.1 Elenco Amministratori di Sistema (art. 2, Provv. Garante 27/11/2008)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300"/>
        <w:gridCol w:w="2200"/>
        <w:gridCol w:w="2200"/>
      </w:tblGrid>
      <w:tr>
        <w:tc>
          <w:tcPr>
            <w:tcW w:type="dxa" w:w="2300"/>
            <w:shd w:fill="D9E2F3" w:val="clear"/>
          </w:tcPr>
          <w:p>
            <w:r>
              <w:rPr>
                <w:b/>
                <w:bCs/>
              </w:rPr>
              <w:t xml:space="preserve">Nominativo</w:t>
            </w:r>
          </w:p>
        </w:tc>
        <w:tc>
          <w:tcPr>
            <w:tcW w:type="dxa" w:w="2300"/>
            <w:shd w:fill="D9E2F3" w:val="clear"/>
          </w:tcPr>
          <w:p>
            <w:r>
              <w:rPr>
                <w:b/>
                <w:bCs/>
              </w:rPr>
              <w:t xml:space="preserve">Ambito di competenza</w:t>
            </w:r>
          </w:p>
        </w:tc>
        <w:tc>
          <w:tcPr>
            <w:tcW w:type="dxa" w:w="2200"/>
            <w:shd w:fill="D9E2F3" w:val="clear"/>
          </w:tcPr>
          <w:p>
            <w:r>
              <w:rPr>
                <w:b/>
                <w:bCs/>
              </w:rPr>
              <w:t xml:space="preserve">Data nomina</w:t>
            </w:r>
          </w:p>
        </w:tc>
        <w:tc>
          <w:tcPr>
            <w:tcW w:type="dxa" w:w="2200"/>
            <w:shd w:fill="D9E2F3" w:val="clear"/>
          </w:tcPr>
          <w:p>
            <w:r>
              <w:rPr>
                <w:b/>
                <w:bCs/>
              </w:rPr>
              <w:t xml:space="preserve">Ultimo riesame annuale</w:t>
            </w:r>
          </w:p>
        </w:tc>
      </w:tr>
      <w:tr>
        <w:tc>
          <w:tcPr>
            <w:tcW w:type="dxa" w:w="2300"/>
          </w:tcPr>
          <w:p>
            <w:r>
              <w:rPr>
                <w:b w:val="false"/>
                <w:bCs w:val="false"/>
              </w:rPr>
              <w:t xml:space="preserve">________________</w:t>
            </w:r>
          </w:p>
        </w:tc>
        <w:tc>
          <w:tcPr>
            <w:tcW w:type="dxa" w:w="2300"/>
          </w:tcPr>
          <w:p>
            <w:r>
              <w:rPr>
                <w:b w:val="false"/>
                <w:bCs w:val="false"/>
              </w:rPr>
              <w:t xml:space="preserve">________________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________________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3. Sicurezza delle Risorse Umane</w:t>
      </w:r>
    </w:p>
    <w:p>
      <w:pPr>
        <w:pStyle w:val="Heading2"/>
      </w:pPr>
      <w:r>
        <w:t xml:space="preserve">3.1 Assunzione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Verifica referenze per ruoli con accesso a dati sensibili.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Accordo di riservatezza (NDA) firmato prima dell'accesso ai sistemi.</w:t>
      </w:r>
    </w:p>
    <w:p>
      <w:pPr>
        <w:pStyle w:val="Heading2"/>
      </w:pPr>
      <w:r>
        <w:t xml:space="preserve">3.2 Durante il rapporto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Formazione periodica su sicurezza (vedi sezione 8).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Accesso ai sistemi secondo il principio del minimo privilegio.</w:t>
      </w:r>
    </w:p>
    <w:p>
      <w:pPr>
        <w:pStyle w:val="Heading2"/>
      </w:pPr>
      <w:r>
        <w:t xml:space="preserve">3.3 Cessazione o cambio di ruolo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Revoca immediata delle credenziali (login + MFA) alla cessazione.</w:t>
      </w:r>
    </w:p>
    <w:p>
      <w:pPr>
        <w:spacing w:after="200"/>
      </w:pPr>
      <w:r>
        <w:rPr>
          <w:i/>
          <w:iCs/>
          <w:color w:val="555555"/>
        </w:rPr>
        <w:t xml:space="preserve">Nota: sul piano tecnico: rimuovere l'utente con 'docker compose exec auth-service python -m app.create_user' non basta a cancellarlo — serve un comando di disattivazione dedicato lato DB, o l'impostazione is_active=False sull'utente in auth-service. Valuta di aggiungere uno script scripts/disable-user.sh se il turnover è frequente.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Restituzione di eventuali dispositivi/certificati agent in possesso.</w:t>
      </w:r>
    </w:p>
    <w:p>
      <w:pPr>
        <w:pStyle w:val="Heading1"/>
      </w:pPr>
      <w:r>
        <w:t xml:space="preserve">4. Sicurezza Fisica e Ambientale</w:t>
      </w:r>
    </w:p>
    <w:p>
      <w:pPr>
        <w:spacing w:after="160"/>
      </w:pPr>
      <w:r>
        <w:t xml:space="preserve">Applicabile al luogo (datacenter/hosting) dove risiede il server.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Il server è ospitato presso: ________________________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Controllo accessi fisici al datacenter: sì / no (verificare col provider)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Continuità elettrica (UPS) e antincendio: verificare col provider</w:t>
      </w:r>
    </w:p>
    <w:p>
      <w:pPr>
        <w:spacing w:after="200"/>
      </w:pPr>
      <w:r>
        <w:rPr>
          <w:i/>
          <w:iCs/>
          <w:color w:val="555555"/>
        </w:rPr>
        <w:t xml:space="preserve">Nota: chiedi esplicitamente al tuo hosting provider se possiede una certificazione ISO 27001 propria per il datacenter: se sì, puoi fare riferimento ad essa invece di verificare tu stesso i controlli fisici.</w:t>
      </w:r>
    </w:p>
    <w:p>
      <w:pPr>
        <w:pStyle w:val="Heading1"/>
      </w:pPr>
      <w:r>
        <w:t xml:space="preserve">5. Gestione dei Fornitori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400"/>
        <w:gridCol w:w="2000"/>
      </w:tblGrid>
      <w:tr>
        <w:tc>
          <w:tcPr>
            <w:tcW w:type="dxa" w:w="2200"/>
            <w:shd w:fill="D9E2F3" w:val="clear"/>
          </w:tcPr>
          <w:p>
            <w:r>
              <w:rPr>
                <w:b/>
                <w:bCs/>
              </w:rPr>
              <w:t xml:space="preserve">Fornitore</w:t>
            </w:r>
          </w:p>
        </w:tc>
        <w:tc>
          <w:tcPr>
            <w:tcW w:type="dxa" w:w="2400"/>
            <w:shd w:fill="D9E2F3" w:val="clear"/>
          </w:tcPr>
          <w:p>
            <w:r>
              <w:rPr>
                <w:b/>
                <w:bCs/>
              </w:rPr>
              <w:t xml:space="preserve">Servizio fornito</w:t>
            </w:r>
          </w:p>
        </w:tc>
        <w:tc>
          <w:tcPr>
            <w:tcW w:type="dxa" w:w="2400"/>
            <w:shd w:fill="D9E2F3" w:val="clear"/>
          </w:tcPr>
          <w:p>
            <w:r>
              <w:rPr>
                <w:b/>
                <w:bCs/>
              </w:rPr>
              <w:t xml:space="preserve">Dati condivisi</w:t>
            </w:r>
          </w:p>
        </w:tc>
        <w:tc>
          <w:tcPr>
            <w:tcW w:type="dxa" w:w="2000"/>
            <w:shd w:fill="D9E2F3" w:val="clear"/>
          </w:tcPr>
          <w:p>
            <w:r>
              <w:rPr>
                <w:b/>
                <w:bCs/>
              </w:rPr>
              <w:t xml:space="preserve">Note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Anthropic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API Claude — triage AI degli allarmi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Solo il contenuto degli allarmi/log inviati al triage (anonimizzato dove possibile)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Verificare i termini di servizio Anthropic per il trattamento dati in ingresso alle API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Hosting/provider server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Infrastruttura server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Tutti i dati della piattaforma (cifrati a riposo)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Verificare certificazioni del provider (vedi sez. 4)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________________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________________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________________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6. Gestione degli Incidenti</w:t>
      </w:r>
    </w:p>
    <w:p>
      <w:pPr>
        <w:pStyle w:val="Heading2"/>
      </w:pPr>
      <w:r>
        <w:t xml:space="preserve">6.1 Classificazione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800"/>
        <w:gridCol w:w="2400"/>
      </w:tblGrid>
      <w:tr>
        <w:tc>
          <w:tcPr>
            <w:tcW w:type="dxa" w:w="1800"/>
            <w:shd w:fill="D9E2F3" w:val="clear"/>
          </w:tcPr>
          <w:p>
            <w:r>
              <w:rPr>
                <w:b/>
                <w:bCs/>
              </w:rPr>
              <w:t xml:space="preserve">Livello</w:t>
            </w:r>
          </w:p>
        </w:tc>
        <w:tc>
          <w:tcPr>
            <w:tcW w:type="dxa" w:w="4800"/>
            <w:shd w:fill="D9E2F3" w:val="clear"/>
          </w:tcPr>
          <w:p>
            <w:r>
              <w:rPr>
                <w:b/>
                <w:bCs/>
              </w:rPr>
              <w:t xml:space="preserve">Esempio</w:t>
            </w:r>
          </w:p>
        </w:tc>
        <w:tc>
          <w:tcPr>
            <w:tcW w:type="dxa" w:w="2400"/>
            <w:shd w:fill="D9E2F3" w:val="clear"/>
          </w:tcPr>
          <w:p>
            <w:r>
              <w:rPr>
                <w:b/>
                <w:bCs/>
              </w:rPr>
              <w:t xml:space="preserve">Tempo di risposta target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Critico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Accesso non autorizzato confermato, esfiltrazione dati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Immediato (&lt; 1 ora)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Tentativi di intrusione ripetuti, servizio compromesso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&lt; 4 ore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Anomalia rilevata da watchdog/allarmi, da verificare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&lt; 24 ore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Basso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Falsi positivi, anomalie minori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Prossimo giorno lavorativo</w:t>
            </w:r>
          </w:p>
        </w:tc>
      </w:tr>
    </w:tbl>
    <w:p>
      <w:pPr>
        <w:pStyle w:val="Heading2"/>
      </w:pPr>
      <w:r>
        <w:t xml:space="preserve">6.2 Processo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Rilevamento (allarme Graylog + triage AI, o segnalazione manuale)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Classificazione secondo la tabella sopra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Contenimento (es. revoca certificato agent compromesso, blocco utente)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4. Analisi tramite i log reali nella piattaforma (stream del tenant coinvolto)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5. Ripristino e verifica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6. Lezioni apprese e aggiornamento delle policy</w:t>
      </w:r>
    </w:p>
    <w:p>
      <w:pPr>
        <w:pStyle w:val="Heading1"/>
      </w:pPr>
      <w:r>
        <w:t xml:space="preserve">7. Continuità Operativa</w:t>
      </w:r>
    </w:p>
    <w:p>
      <w:pPr>
        <w:spacing w:after="200"/>
      </w:pPr>
      <w:r>
        <w:rPr>
          <w:i/>
          <w:iCs/>
          <w:color w:val="555555"/>
        </w:rPr>
        <w:t xml:space="preserve">Nota: stato reale: oggi la piattaforma è a singolo nodo (single point of failure). Questa sezione è il template del piano, non una garanzia di continuità già implementata.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3800"/>
      </w:tblGrid>
      <w:tr>
        <w:tc>
          <w:tcPr>
            <w:tcW w:type="dxa" w:w="2600"/>
            <w:shd w:fill="D9E2F3" w:val="clea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W w:type="dxa" w:w="2600"/>
            <w:shd w:fill="D9E2F3" w:val="clear"/>
          </w:tcPr>
          <w:p>
            <w:r>
              <w:rPr>
                <w:b/>
                <w:bCs/>
              </w:rPr>
              <w:t xml:space="preserve">Impatto</w:t>
            </w:r>
          </w:p>
        </w:tc>
        <w:tc>
          <w:tcPr>
            <w:tcW w:type="dxa" w:w="3800"/>
            <w:shd w:fill="D9E2F3" w:val="clear"/>
          </w:tcPr>
          <w:p>
            <w:r>
              <w:rPr>
                <w:b/>
                <w:bCs/>
              </w:rPr>
              <w:t xml:space="preserve">Azione prevista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Guasto hardware server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Interruzione totale del servizio</w:t>
            </w:r>
          </w:p>
        </w:tc>
        <w:tc>
          <w:tcPr>
            <w:tcW w:type="dxa" w:w="3800"/>
          </w:tcPr>
          <w:p>
            <w:r>
              <w:rPr>
                <w:b w:val="false"/>
                <w:bCs w:val="false"/>
              </w:rPr>
              <w:t xml:space="preserve">Ripristino da backup su nuovo hardware (vedi scripts/restore.sh) — RTO/RPO da definire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Perdita dati per errore umano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Perdita configurazione/utenti</w:t>
            </w:r>
          </w:p>
        </w:tc>
        <w:tc>
          <w:tcPr>
            <w:tcW w:type="dxa" w:w="3800"/>
          </w:tcPr>
          <w:p>
            <w:r>
              <w:rPr>
                <w:b w:val="false"/>
                <w:bCs w:val="false"/>
              </w:rPr>
              <w:t xml:space="preserve">Ripristino da backup giornaliero (scripts/backup.sh)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Compromissione CA interna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Possibile invio log fraudolento</w:t>
            </w:r>
          </w:p>
        </w:tc>
        <w:tc>
          <w:tcPr>
            <w:tcW w:type="dxa" w:w="3800"/>
          </w:tcPr>
          <w:p>
            <w:r>
              <w:rPr>
                <w:b w:val="false"/>
                <w:bCs w:val="false"/>
              </w:rPr>
              <w:t xml:space="preserve">Rigenerare CA e tutti i certificati client (procedura da formalizzare)</w:t>
            </w:r>
          </w:p>
        </w:tc>
      </w:tr>
    </w:tbl>
    <w:p>
      <w:pPr>
        <w:pStyle w:val="Heading1"/>
      </w:pPr>
      <w:r>
        <w:t xml:space="preserve">8. Formazione e Consapevolezza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Formazione all'ingresso su: gestione password, MFA, riconoscimento phishing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Aggiornamento periodico (consigliato: annuale)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Registro presenze formazione: ________________________</w:t>
      </w:r>
    </w:p>
    <w:p>
      <w:pPr>
        <w:pStyle w:val="Heading1"/>
      </w:pPr>
      <w:r>
        <w:t xml:space="preserve">9. Riesame Periodico</w:t>
      </w:r>
    </w:p>
    <w:p>
      <w:pPr>
        <w:spacing w:after="160"/>
      </w:pPr>
      <w:r>
        <w:t xml:space="preserve">Il presente documento e la politica di sicurezza vanno riesaminati almeno una volta all'anno, o dopo un incidente significativo, o dopo modifiche rilevanti alla piattaforma.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500"/>
        <w:gridCol w:w="2000"/>
      </w:tblGrid>
      <w:tr>
        <w:tc>
          <w:tcPr>
            <w:tcW w:type="dxa" w:w="2500"/>
            <w:shd w:fill="D9E2F3" w:val="clear"/>
          </w:tcPr>
          <w:p>
            <w:r>
              <w:rPr>
                <w:b/>
                <w:bCs/>
              </w:rPr>
              <w:t xml:space="preserve">Data riesame</w:t>
            </w:r>
          </w:p>
        </w:tc>
        <w:tc>
          <w:tcPr>
            <w:tcW w:type="dxa" w:w="4500"/>
            <w:shd w:fill="D9E2F3" w:val="clear"/>
          </w:tcPr>
          <w:p>
            <w:r>
              <w:rPr>
                <w:b/>
                <w:bCs/>
              </w:rPr>
              <w:t xml:space="preserve">Esito</w:t>
            </w:r>
          </w:p>
        </w:tc>
        <w:tc>
          <w:tcPr>
            <w:tcW w:type="dxa" w:w="2000"/>
            <w:shd w:fill="D9E2F3" w:val="clear"/>
          </w:tcPr>
          <w:p>
            <w:r>
              <w:rPr>
                <w:b/>
                <w:bCs/>
              </w:rPr>
              <w:t xml:space="preserve">Responsabile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________________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________________________________________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________________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2026-09-03T14:07:18.807Z</dcterms:created>
  <dcterms:modified xsi:type="dcterms:W3CDTF">2026-09-03T14:07:18.821Z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