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9" w:name="content"/>
    <w:bookmarkStart w:id="58" w:name="X47021d3444c878b676b294a1842034bc259bc5c"/>
    <w:p>
      <w:pPr>
        <w:pStyle w:val="Heading1"/>
      </w:pPr>
      <w:r>
        <w:t xml:space="preserve">Методика оценивания Silver Mercury для обучения AI‑жюри</w:t>
      </w:r>
    </w:p>
    <w:bookmarkStart w:id="23" w:name="исполнительное-резюме"/>
    <w:p>
      <w:pPr>
        <w:pStyle w:val="Heading2"/>
      </w:pPr>
      <w:r>
        <w:t xml:space="preserve">Исполнительное резюме</w:t>
      </w:r>
    </w:p>
    <w:p>
      <w:pPr>
        <w:pStyle w:val="FirstParagraph"/>
      </w:pPr>
      <w:r>
        <w:t xml:space="preserve">Методика судейства Silver Mercury формализована в официальном регламенте: проекты оцениваются по критериям, привязанным к блоку номинаций, причём критерии имеют веса (в процентах), а расчёт строится на умножении веса критерия на выставленную оценку.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В фестивале используется двухэтапное судейство: сначала формируется лонг‑лист (бинарный выбор «лонг / не лонг»), затем проводится этап определения победителей (оценивание по критериям и присуждение наградных уровней).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На этапе выявления победителей применяется шкала 1–10 с привязкой диапазонов к «уровням награды» (Gold/Silver/Bronze/Short‑list/Long‑list), а итоговая позиция проекта определяется через медиану оценок жюри (устойчивость к выбросам и «строгим/мягким» судьям).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Для социально‑ориентированных номинаций добавляется отдельный критерий Social outcomes; итоговый балл считается как среднее арифметическое между «Social outcomes (100%)» и итогом по стандартным критериям блока.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Процедурно методика включает: требования к независимости (запрет оценивать аффилированные проекты, кнопка «Моя работа» и перераспределение веса голоса), обязательную письменную аргументацию оценок, а также обезличивание ключевых содержательных полей заявки (жюри не должно знать, кем сделан проект).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Внешние индустриальные источники подтверждают, что такие элементы (многораундность, независимое первичное выставление оценок, контроль конфликта интересов, публикация матриц/отчетов) являются признанными практиками для повышения валидности award‑judging, хотя конкретные шкалы и веса могут различаться (например, 1–9 в Cannes Lions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или 4‑pillar scoring в Effie Awards</w:t>
      </w:r>
      <w:hyperlink r:id="rId21">
        <w:r>
          <w:rPr>
            <w:rStyle w:val="Hyperlink"/>
          </w:rPr>
          <w:t xml:space="preserve">[7]</w:t>
        </w:r>
      </w:hyperlink>
      <w:r>
        <w:t xml:space="preserve">).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bookmarkEnd w:id="23"/>
    <w:bookmarkStart w:id="27" w:name="источники-и-статус-доступа"/>
    <w:p>
      <w:pPr>
        <w:pStyle w:val="Heading2"/>
      </w:pPr>
      <w:r>
        <w:t xml:space="preserve">Источники и статус доступа</w:t>
      </w:r>
    </w:p>
    <w:p>
      <w:pPr>
        <w:pStyle w:val="FirstParagraph"/>
      </w:pPr>
      <w:r>
        <w:t xml:space="preserve">Приоритетно изучены материалы на домене silvermercury.ru (разделы «Победители», «Как стать жюри», «Блоки и номинации») и связанные официальные документы.</w:t>
      </w:r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Специфическая страница</w:t>
      </w:r>
      <w:r>
        <w:t xml:space="preserve"> </w:t>
      </w:r>
      <w:r>
        <w:rPr>
          <w:rStyle w:val="VerbatimChar"/>
        </w:rPr>
        <w:t xml:space="preserve">https://silvermercury.ru/test.html</w:t>
      </w:r>
      <w:r>
        <w:t xml:space="preserve"> </w:t>
      </w:r>
      <w:r>
        <w:t xml:space="preserve">на момент исследования не была доступна для выгрузки через инструменты веб‑просмотра (таймаут при получении).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Это ограничивает возможность «прямого» извлечения находящихся там данных в рамках данного отчёта; однако методические аспекты судейства и структура критериев/весов доступны через регламент и публичные страницы номинаций/победителей.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Ключевым первичным источником по методике оценивания выступает официальный «Регламент Silver Mercury XXVI» (редакция 2025), включающий: критерии, веса, этапы голосования, правила независимости, определения (лонг‑лист/шорт‑лист/матрица голосования), а также требования к заполнению заявок в «обезличенном» виде.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Для контекста прозрачности и практик обратной связи использован отраслевой материал Ассоциация электронных коммуникаций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о публикации оценок и обязательности комментариев судей.</w:t>
      </w:r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</w:p>
    <w:bookmarkEnd w:id="27"/>
    <w:bookmarkStart w:id="32" w:name="Xc5f7b01de80ab8822716fe5f34474c80f2318b2"/>
    <w:p>
      <w:pPr>
        <w:pStyle w:val="Heading2"/>
      </w:pPr>
      <w:r>
        <w:t xml:space="preserve">Официальные критерии и весовые коэффициенты</w:t>
      </w:r>
    </w:p>
    <w:bookmarkStart w:id="28" w:name="логика-критериев-по-блокам"/>
    <w:p>
      <w:pPr>
        <w:pStyle w:val="Heading3"/>
      </w:pPr>
      <w:r>
        <w:t xml:space="preserve">Логика критериев по блокам</w:t>
      </w:r>
    </w:p>
    <w:p>
      <w:pPr>
        <w:pStyle w:val="FirstParagraph"/>
      </w:pPr>
      <w:r>
        <w:t xml:space="preserve">Официально критерии задаются на уровне блока номинаций; внутри части блоков веса едины для всех номинаций блока, а внутри части блоков — задаются специфично для каждой номинации.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Практически это означает: AI‑жюри должно принимать на вход</w:t>
      </w:r>
      <w:r>
        <w:t xml:space="preserve"> </w:t>
      </w:r>
      <w:r>
        <w:rPr>
          <w:b/>
          <w:bCs/>
        </w:rPr>
        <w:t xml:space="preserve">(а)</w:t>
      </w:r>
      <w:r>
        <w:t xml:space="preserve"> </w:t>
      </w:r>
      <w:r>
        <w:t xml:space="preserve">блок/номинацию,</w:t>
      </w:r>
      <w:r>
        <w:t xml:space="preserve"> </w:t>
      </w:r>
      <w:r>
        <w:rPr>
          <w:b/>
          <w:bCs/>
        </w:rPr>
        <w:t xml:space="preserve">(б)</w:t>
      </w:r>
      <w:r>
        <w:t xml:space="preserve"> </w:t>
      </w:r>
      <w:r>
        <w:t xml:space="preserve">набор критериев блока и их определения,</w:t>
      </w:r>
      <w:r>
        <w:t xml:space="preserve"> </w:t>
      </w:r>
      <w:r>
        <w:rPr>
          <w:b/>
          <w:bCs/>
        </w:rPr>
        <w:t xml:space="preserve">(в)</w:t>
      </w:r>
      <w:r>
        <w:t xml:space="preserve"> </w:t>
      </w:r>
      <w:r>
        <w:t xml:space="preserve">веса (фиксированные или номинационные).</w:t>
      </w:r>
    </w:p>
    <w:p>
      <w:pPr>
        <w:pStyle w:val="BodyText"/>
      </w:pPr>
      <w:r>
        <w:t xml:space="preserve">Ниже — сводная таблица критериев и весов, которые прямо указаны как единые на уровне блока, либо как набор критериев (а веса — на уровне каждой номинации).</w:t>
      </w:r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Блок</w:t>
            </w:r>
          </w:p>
        </w:tc>
        <w:tc>
          <w:tcPr/>
          <w:p>
            <w:pPr>
              <w:pStyle w:val="Compact"/>
            </w:pPr>
            <w:r>
              <w:t xml:space="preserve">Критерии (официальные названия)</w:t>
            </w:r>
          </w:p>
        </w:tc>
        <w:tc>
          <w:tcPr/>
          <w:p>
            <w:pPr>
              <w:pStyle w:val="Compact"/>
            </w:pPr>
            <w:r>
              <w:t xml:space="preserve">Веса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 INDUSTRY BENCHMARK</w:t>
            </w:r>
          </w:p>
        </w:tc>
        <w:tc>
          <w:tcPr/>
          <w:p>
            <w:pPr>
              <w:pStyle w:val="Compact"/>
            </w:pPr>
            <w:r>
              <w:t xml:space="preserve">Challenge, Strategy, Idea, Execution, Results</w:t>
            </w:r>
          </w:p>
        </w:tc>
        <w:tc>
          <w:tcPr/>
          <w:p>
            <w:pPr>
              <w:pStyle w:val="Compact"/>
            </w:pPr>
            <w:r>
              <w:t xml:space="preserve">фиксированные: 10 / 15 / 15 / 30 / 30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B. BRANDING</w:t>
            </w:r>
          </w:p>
        </w:tc>
        <w:tc>
          <w:tcPr/>
          <w:p>
            <w:pPr>
              <w:pStyle w:val="Compact"/>
            </w:pPr>
            <w:r>
              <w:t xml:space="preserve">Strategy, Creativity, Execution, Results</w:t>
            </w:r>
          </w:p>
        </w:tc>
        <w:tc>
          <w:tcPr/>
          <w:p>
            <w:pPr>
              <w:pStyle w:val="Compact"/>
            </w:pPr>
            <w:r>
              <w:t xml:space="preserve">веса</w:t>
            </w:r>
            <w:r>
              <w:t xml:space="preserve"> </w:t>
            </w:r>
            <w:r>
              <w:rPr>
                <w:b/>
                <w:bCs/>
              </w:rPr>
              <w:t xml:space="preserve">по каждой номинации</w:t>
            </w:r>
            <w:r>
              <w:t xml:space="preserve"> </w:t>
            </w:r>
            <w:r>
              <w:t xml:space="preserve">в разделе «Блоки и номинации»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C. CREATIVITY</w:t>
            </w:r>
          </w:p>
        </w:tc>
        <w:tc>
          <w:tcPr/>
          <w:p>
            <w:pPr>
              <w:pStyle w:val="Compact"/>
            </w:pPr>
            <w:r>
              <w:t xml:space="preserve">Idea freshness, Results</w:t>
            </w:r>
          </w:p>
        </w:tc>
        <w:tc>
          <w:tcPr/>
          <w:p>
            <w:pPr>
              <w:pStyle w:val="Compact"/>
            </w:pPr>
            <w:r>
              <w:t xml:space="preserve">фиксированные: 70 / 30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D. DIGITAL</w:t>
            </w:r>
          </w:p>
        </w:tc>
        <w:tc>
          <w:tcPr/>
          <w:p>
            <w:pPr>
              <w:pStyle w:val="Compact"/>
            </w:pPr>
            <w:r>
              <w:t xml:space="preserve">Strategy, Idea, Execution &amp; Craft, Effectiveness &amp; Results</w:t>
            </w:r>
          </w:p>
        </w:tc>
        <w:tc>
          <w:tcPr/>
          <w:p>
            <w:pPr>
              <w:pStyle w:val="Compact"/>
            </w:pPr>
            <w:r>
              <w:t xml:space="preserve">веса</w:t>
            </w:r>
            <w:r>
              <w:t xml:space="preserve"> </w:t>
            </w:r>
            <w:r>
              <w:rPr>
                <w:b/>
                <w:bCs/>
              </w:rPr>
              <w:t xml:space="preserve">по каждой номинации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E. PR</w:t>
            </w:r>
          </w:p>
        </w:tc>
        <w:tc>
          <w:tcPr/>
          <w:p>
            <w:pPr>
              <w:pStyle w:val="Compact"/>
            </w:pPr>
            <w:r>
              <w:t xml:space="preserve">Strategy, Creativity, Execution, Effectiveness &amp; Results</w:t>
            </w:r>
          </w:p>
        </w:tc>
        <w:tc>
          <w:tcPr/>
          <w:p>
            <w:pPr>
              <w:pStyle w:val="Compact"/>
            </w:pPr>
            <w:r>
              <w:t xml:space="preserve">веса</w:t>
            </w:r>
            <w:r>
              <w:t xml:space="preserve"> </w:t>
            </w:r>
            <w:r>
              <w:rPr>
                <w:b/>
                <w:bCs/>
              </w:rPr>
              <w:t xml:space="preserve">по каждой номинации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F. MARKETING</w:t>
            </w:r>
          </w:p>
        </w:tc>
        <w:tc>
          <w:tcPr/>
          <w:p>
            <w:pPr>
              <w:pStyle w:val="Compact"/>
            </w:pPr>
            <w:r>
              <w:t xml:space="preserve">Strategy, Innovation &amp; Creativity, Execution &amp; Craft, Effectiveness &amp; Results</w:t>
            </w:r>
          </w:p>
        </w:tc>
        <w:tc>
          <w:tcPr/>
          <w:p>
            <w:pPr>
              <w:pStyle w:val="Compact"/>
            </w:pPr>
            <w:r>
              <w:t xml:space="preserve">веса</w:t>
            </w:r>
            <w:r>
              <w:t xml:space="preserve"> </w:t>
            </w:r>
            <w:r>
              <w:rPr>
                <w:b/>
                <w:bCs/>
              </w:rPr>
              <w:t xml:space="preserve">по каждой номинации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G. MEDIA PRODUCTION</w:t>
            </w:r>
          </w:p>
        </w:tc>
        <w:tc>
          <w:tcPr/>
          <w:p>
            <w:pPr>
              <w:pStyle w:val="Compact"/>
            </w:pPr>
            <w:r>
              <w:t xml:space="preserve">Strategy, Innovation &amp; Creativity, Execution &amp; Craft, Effectiveness &amp; Results</w:t>
            </w:r>
          </w:p>
        </w:tc>
        <w:tc>
          <w:tcPr/>
          <w:p>
            <w:pPr>
              <w:pStyle w:val="Compact"/>
            </w:pPr>
            <w:r>
              <w:t xml:space="preserve">веса</w:t>
            </w:r>
            <w:r>
              <w:t xml:space="preserve"> </w:t>
            </w:r>
            <w:r>
              <w:rPr>
                <w:b/>
                <w:bCs/>
              </w:rPr>
              <w:t xml:space="preserve">по каждой номинации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H. SPECIFIC ISSUE</w:t>
            </w:r>
          </w:p>
        </w:tc>
        <w:tc>
          <w:tcPr/>
          <w:p>
            <w:pPr>
              <w:pStyle w:val="Compact"/>
            </w:pPr>
            <w:r>
              <w:t xml:space="preserve">Challenge, Idea, Solution, Results</w:t>
            </w:r>
          </w:p>
        </w:tc>
        <w:tc>
          <w:tcPr/>
          <w:p>
            <w:pPr>
              <w:pStyle w:val="Compact"/>
            </w:pPr>
            <w:r>
              <w:t xml:space="preserve">фиксированные: 10 / 30 / 35 / 25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[19]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I. BRANDING PRODUCTS</w:t>
            </w:r>
          </w:p>
        </w:tc>
        <w:tc>
          <w:tcPr/>
          <w:p>
            <w:pPr>
              <w:pStyle w:val="Compact"/>
            </w:pPr>
            <w:r>
              <w:t xml:space="preserve">Big Idea, Execution, Campaign, Results, Challenge</w:t>
            </w:r>
          </w:p>
        </w:tc>
        <w:tc>
          <w:tcPr/>
          <w:p>
            <w:pPr>
              <w:pStyle w:val="Compact"/>
            </w:pPr>
            <w:r>
              <w:t xml:space="preserve">веса</w:t>
            </w:r>
            <w:r>
              <w:t xml:space="preserve"> </w:t>
            </w:r>
            <w:r>
              <w:rPr>
                <w:b/>
                <w:bCs/>
              </w:rPr>
              <w:t xml:space="preserve">по каждой номинации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[20]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J. ADVERTISING</w:t>
            </w:r>
          </w:p>
        </w:tc>
        <w:tc>
          <w:tcPr/>
          <w:p>
            <w:pPr>
              <w:pStyle w:val="Compact"/>
            </w:pPr>
            <w:r>
              <w:t xml:space="preserve">Strategy, Idea, Execution &amp; Craft, Results</w:t>
            </w:r>
          </w:p>
        </w:tc>
        <w:tc>
          <w:tcPr/>
          <w:p>
            <w:pPr>
              <w:pStyle w:val="Compact"/>
            </w:pPr>
            <w:r>
              <w:t xml:space="preserve">фиксированные: 10 / 20 / 50 / 20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K. EVENT</w:t>
            </w:r>
          </w:p>
        </w:tc>
        <w:tc>
          <w:tcPr/>
          <w:p>
            <w:pPr>
              <w:pStyle w:val="Compact"/>
            </w:pPr>
            <w:r>
              <w:t xml:space="preserve">Strategy, Creativity, Execution, Effectiveness &amp; Results</w:t>
            </w:r>
          </w:p>
        </w:tc>
        <w:tc>
          <w:tcPr/>
          <w:p>
            <w:pPr>
              <w:pStyle w:val="Compact"/>
            </w:pPr>
            <w:r>
              <w:t xml:space="preserve">фиксированные: 10 / 20 / 40 / 30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[21]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L. CORPORATE &amp; INTRACORPORATE &amp; HR</w:t>
            </w:r>
          </w:p>
        </w:tc>
        <w:tc>
          <w:tcPr/>
          <w:p>
            <w:pPr>
              <w:pStyle w:val="Compact"/>
            </w:pPr>
            <w:r>
              <w:t xml:space="preserve">Strategy, Creativity, Execution, Effectiveness &amp; Results</w:t>
            </w:r>
          </w:p>
        </w:tc>
        <w:tc>
          <w:tcPr/>
          <w:p>
            <w:pPr>
              <w:pStyle w:val="Compact"/>
            </w:pPr>
            <w:r>
              <w:t xml:space="preserve">фиксированные: 10 / 20 / 40 / 30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[4]</w:t>
              </w:r>
            </w:hyperlink>
          </w:p>
        </w:tc>
      </w:tr>
    </w:tbl>
    <w:p>
      <w:pPr>
        <w:pStyle w:val="BodyText"/>
      </w:pPr>
      <w:r>
        <w:t xml:space="preserve">Отдельно регламент описывает</w:t>
      </w:r>
      <w:r>
        <w:t xml:space="preserve"> </w:t>
      </w:r>
      <w:r>
        <w:rPr>
          <w:b/>
          <w:bCs/>
        </w:rPr>
        <w:t xml:space="preserve">Social outcomes</w:t>
      </w:r>
      <w:r>
        <w:t xml:space="preserve"> </w:t>
      </w:r>
      <w:r>
        <w:t xml:space="preserve">как дополнительный критерий для социально‑ориентированных проектов (изменения состояния/поведения/статуса благополучателей, а не охваты или «классические» медийные метрики).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bookmarkEnd w:id="28"/>
    <w:bookmarkStart w:id="29" w:name="официальные-определения-критериев"/>
    <w:p>
      <w:pPr>
        <w:pStyle w:val="Heading3"/>
      </w:pPr>
      <w:r>
        <w:t xml:space="preserve">Официальные определения критериев</w:t>
      </w:r>
    </w:p>
    <w:p>
      <w:pPr>
        <w:pStyle w:val="FirstParagraph"/>
      </w:pPr>
      <w:r>
        <w:t xml:space="preserve">Регламент даёт текстовые дефиниции критериев. Ниже — «рабочие» формулировки, которые удобно переносить в AI‑рубрику (с сохранением смысла и терминов).</w:t>
      </w:r>
    </w:p>
    <w:p>
      <w:pPr>
        <w:pStyle w:val="BodyText"/>
      </w:pPr>
      <w:r>
        <w:rPr>
          <w:b/>
          <w:bCs/>
        </w:rPr>
        <w:t xml:space="preserve">A. INDUSTRY BENCHMARK.</w:t>
      </w:r>
      <w:r>
        <w:br/>
      </w:r>
      <w:r>
        <w:t xml:space="preserve">Challenge — амбициозность задачи; Strategy — стратегичность решения (инсайт, дифференциация, соответствие бизнес‑вызовам); Idea — ответ на стратегический вызов; Execution — качество реализации стратегической идеи; Results — соответствие результата вызову (с приоритетом бизнес‑метрик или медийных метрик в зависимости от типа вызова).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C. CREATIVITY.</w:t>
      </w:r>
      <w:r>
        <w:br/>
      </w:r>
      <w:r>
        <w:t xml:space="preserve">Idea freshness — нестандартность и оригинальность идеи и ответа на инсайт/проблему; Results — эффективность идеи для достижения цели проекта.</w:t>
      </w:r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H. SPECIFIC ISSUE.</w:t>
      </w:r>
      <w:r>
        <w:br/>
      </w:r>
      <w:r>
        <w:t xml:space="preserve">Challenge — стратегический вызов; Idea — стратегическая идея; Solution — качество/доступность реализации идеи; Results — бизнес‑результат и соответствие целям вызова.</w:t>
      </w:r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rPr>
          <w:b/>
          <w:bCs/>
        </w:rPr>
        <w:t xml:space="preserve">J. ADVERTISING.</w:t>
      </w:r>
      <w:r>
        <w:br/>
      </w:r>
      <w:r>
        <w:t xml:space="preserve">Strategy — понимание задачи и её актуальность; Idea — формулировка идеи и глубина проработки; Execution — мастерство реализации идеи; Results — эффективность для достижения задачи.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K. EVENT.</w:t>
      </w:r>
      <w:r>
        <w:br/>
      </w:r>
      <w:r>
        <w:t xml:space="preserve">Strategy — комплексность планирования (цели, аудитория, формат, каналы); Creativity — оригинальность концепции; Execution — качество проведения и соответствие концепции; Effectiveness &amp; Results — соответствие результата целям и масштабу события.</w:t>
      </w:r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L. CORPORATE &amp; INTRACORPORATE &amp; HR.</w:t>
      </w:r>
      <w:r>
        <w:br/>
      </w:r>
      <w:r>
        <w:t xml:space="preserve">Strategy — системный подход, основанный на потребностях сотрудников и целях компании; Creativity — новаторские идеи для вовлечения и культуры; Execution — качество исполнения/адаптации; Effectiveness &amp; Results — измеримые достижения для культуры/коммуникаций/бизнеса.</w:t>
      </w:r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</w:p>
    <w:bookmarkEnd w:id="29"/>
    <w:bookmarkStart w:id="31" w:name="пример-номинационной-развесовки"/>
    <w:p>
      <w:pPr>
        <w:pStyle w:val="Heading3"/>
      </w:pPr>
      <w:r>
        <w:t xml:space="preserve">Пример «номинационной» развесовки</w:t>
      </w:r>
    </w:p>
    <w:p>
      <w:pPr>
        <w:pStyle w:val="FirstParagraph"/>
      </w:pPr>
      <w:r>
        <w:t xml:space="preserve">Для блоков, где веса задаются на уровне номинации, удобнее всего хранить веса как часть «metadata nomination». Ряд страниц номинаций публикует распределение весов явно; например, для одной из номинаций блока G указаны: Strategy 20%, Innovation &amp; Creative 30%, Execution &amp; Craft 30%, Effectiveness &amp; Results 20%.</w:t>
      </w:r>
      <w:r>
        <w:t xml:space="preserve"> </w:t>
      </w:r>
      <w:hyperlink r:id="rId30">
        <w:r>
          <w:rPr>
            <w:rStyle w:val="Hyperlink"/>
          </w:rPr>
          <w:t xml:space="preserve">[24]</w:t>
        </w:r>
      </w:hyperlink>
    </w:p>
    <w:bookmarkEnd w:id="31"/>
    <w:bookmarkEnd w:id="32"/>
    <w:bookmarkStart w:id="37" w:name="шкала-оценок-и-агрегирование-результатов"/>
    <w:p>
      <w:pPr>
        <w:pStyle w:val="Heading2"/>
      </w:pPr>
      <w:r>
        <w:t xml:space="preserve">Шкала оценок и агрегирование результатов</w:t>
      </w:r>
    </w:p>
    <w:bookmarkStart w:id="33" w:name="две-фазы-и-типы-решений"/>
    <w:p>
      <w:pPr>
        <w:pStyle w:val="Heading3"/>
      </w:pPr>
      <w:r>
        <w:t xml:space="preserve">Две фазы и типы решений</w:t>
      </w:r>
    </w:p>
    <w:p>
      <w:pPr>
        <w:pStyle w:val="FirstParagraph"/>
      </w:pPr>
      <w:r>
        <w:t xml:space="preserve">Фаза Longlisting (формирование лонг‑листа) — бинарное решение по каждому кейсу: «Лонг» или «Не лонг» (плюс служебная опция «Моя работа» при аффилированности).</w:t>
      </w:r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Проект проходит в лонг‑лист, если доля голосов «Лонг» строго больше 50%.</w:t>
      </w:r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Фаза Awarding (определение победителей) — балльная оценка по критериям с привязкой итогов к наградным уровням и ранжированию внутри номинации.</w:t>
      </w:r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</w:p>
    <w:bookmarkEnd w:id="33"/>
    <w:bookmarkStart w:id="34" w:name="X916d4018b609a66bbaa86f9a924e034f1d9708d"/>
    <w:p>
      <w:pPr>
        <w:pStyle w:val="Heading3"/>
      </w:pPr>
      <w:r>
        <w:t xml:space="preserve">Шкала 1–10 и «распределение» наградных уровней</w:t>
      </w:r>
    </w:p>
    <w:p>
      <w:pPr>
        <w:pStyle w:val="FirstParagraph"/>
      </w:pPr>
      <w:r>
        <w:t xml:space="preserve">Регламент задаёт соответствие балльных диапазонов наградным уровням (по сути это «официальная дискретизация» непрерывной шкалы качества):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</w:pPr>
            <w:r>
              <w:t xml:space="preserve">Уровень, присваиваемый оценкой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9–10</w:t>
            </w:r>
          </w:p>
        </w:tc>
        <w:tc>
          <w:tcPr/>
          <w:p>
            <w:pPr>
              <w:pStyle w:val="Compact"/>
            </w:pPr>
            <w:r>
              <w:t xml:space="preserve">Gold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7–8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5–6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Short‑list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Long‑list</w:t>
            </w:r>
          </w:p>
        </w:tc>
      </w:tr>
    </w:tbl>
    <w:p>
      <w:pPr>
        <w:pStyle w:val="BodyText"/>
      </w:pP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Для AI‑жюри это важный «якорь» калибровки: выдавая оценку 7–8, модель одновременно «обещает», что работа достойна уровня Silver; 9–10 — уровня Gold и статуса бенчмарка.</w:t>
      </w:r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</w:p>
    <w:bookmarkEnd w:id="34"/>
    <w:bookmarkStart w:id="35" w:name="X3c464c1783966c55a92e02a2eb56eda1e5ed78b"/>
    <w:p>
      <w:pPr>
        <w:pStyle w:val="Heading3"/>
      </w:pPr>
      <w:r>
        <w:t xml:space="preserve">Агрегирование оценок: веса критериев и медиана</w:t>
      </w:r>
    </w:p>
    <w:p>
      <w:pPr>
        <w:pStyle w:val="FirstParagraph"/>
      </w:pPr>
      <w:r>
        <w:t xml:space="preserve">Регламент описывает, что при подсчёте результатов вес критерия умножается на оценку члена жюри.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В практической реализации (типично для весов, задаваемых в процентах и суммирующихся до 100) это обычно означает</w:t>
      </w:r>
      <w:r>
        <w:t xml:space="preserve"> </w:t>
      </w:r>
      <w:r>
        <w:rPr>
          <w:b/>
          <w:bCs/>
        </w:rPr>
        <w:t xml:space="preserve">взвешенное суммирование</w:t>
      </w:r>
      <w:r>
        <w:t xml:space="preserve"> </w:t>
      </w:r>
      <w:r>
        <w:t xml:space="preserve">по критериям с нормировкой к шкале 1–10 (например,</w:t>
      </w:r>
      <w:r>
        <w:t xml:space="preserve"> </w:t>
      </w:r>
      <w:r>
        <w:rPr>
          <w:rStyle w:val="VerbatimChar"/>
        </w:rPr>
        <w:t xml:space="preserve">total = Σ(score_i * weight_i)/100</w:t>
      </w:r>
      <w:r>
        <w:t xml:space="preserve">), но сам регламент формулу нормировки не выписывает явно; это место следует считать «слабо специфицированным» и проверять на данных матрицы голосования.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Итог проекта в рейтинге определяется через медиану среди всех оценок, выставленных членами жюри (регламент прямо называет медиану базой процедуры определения победителей).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Отдельно зафиксированы «правила мощностей» наград по номинации: максимум одно золото (и оно может не присуждаться), до двух серебер (при условии, что медиана не ниже 7), до трёх бронз (при медиане не ниже 5), и для уровня «шорт‑лист» требуется медиана не ниже 3.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Уточнение по Гран‑при: допускаются к рассмотрению только Gold‑проекты с итоговой оценкой от 9,5, а сам Гран‑при — один на конкурсную часть премии.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bookmarkEnd w:id="35"/>
    <w:bookmarkStart w:id="36" w:name="X6390ce802ac26e2e13e062c2190417614607ac0"/>
    <w:p>
      <w:pPr>
        <w:pStyle w:val="Heading3"/>
      </w:pPr>
      <w:r>
        <w:t xml:space="preserve">Социальные проекты: добавочный критерий и итоговая формула</w:t>
      </w:r>
    </w:p>
    <w:p>
      <w:pPr>
        <w:pStyle w:val="FirstParagraph"/>
      </w:pPr>
      <w:r>
        <w:t xml:space="preserve">Для социально‑ориентированных проектов итоговая оценка считается как среднее арифметическое между:</w:t>
      </w:r>
      <w:r>
        <w:br/>
      </w:r>
      <w:r>
        <w:t xml:space="preserve">(а) оценкой Social outcomes с весом 100% и</w:t>
      </w:r>
      <w:r>
        <w:br/>
      </w:r>
      <w:r>
        <w:t xml:space="preserve">(б) оценкой по стандартным критериям соответствующего блока.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Практическое следствие: AI‑жюри должно оценивать «социальный результат»</w:t>
      </w:r>
      <w:r>
        <w:t xml:space="preserve"> </w:t>
      </w:r>
      <w:r>
        <w:rPr>
          <w:b/>
          <w:bCs/>
        </w:rPr>
        <w:t xml:space="preserve">отдельно</w:t>
      </w:r>
      <w:r>
        <w:t xml:space="preserve"> </w:t>
      </w:r>
      <w:r>
        <w:t xml:space="preserve">от «обычных» критериев стратегии/креатива/реализации/результатов, потому что в финале Social outcomes имеет сопоставимую значимость с «профессиональной частью» кейса.</w:t>
      </w:r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</w:p>
    <w:bookmarkEnd w:id="36"/>
    <w:bookmarkEnd w:id="37"/>
    <w:bookmarkStart w:id="45" w:name="X3d322cef017acac9a0e3adffdf23dd01eb0c473"/>
    <w:p>
      <w:pPr>
        <w:pStyle w:val="Heading2"/>
      </w:pPr>
      <w:r>
        <w:t xml:space="preserve">Процесс судейства и правила добросовестности</w:t>
      </w:r>
    </w:p>
    <w:bookmarkStart w:id="39" w:name="организация-жюри-и-нагрузка"/>
    <w:p>
      <w:pPr>
        <w:pStyle w:val="Heading3"/>
      </w:pPr>
      <w:r>
        <w:t xml:space="preserve">Организация жюри и нагрузка</w:t>
      </w:r>
    </w:p>
    <w:p>
      <w:pPr>
        <w:pStyle w:val="FirstParagraph"/>
      </w:pPr>
      <w:r>
        <w:t xml:space="preserve">Состав жюри формируется оргкомитетом и утверждается попечительским советом; жюри анализирует кейсы, слушает защиты и определяет победителей.</w:t>
      </w:r>
      <w:r>
        <w:t xml:space="preserve"> </w:t>
      </w:r>
      <w:hyperlink r:id="rId38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Голосование проводится онлайн в фиксированные слоты (на сайте приводится рамка «9:00–18:00», а также этапы longlisting/awarding по датам конкретного сезона).</w:t>
      </w:r>
      <w:r>
        <w:t xml:space="preserve"> </w:t>
      </w:r>
      <w:hyperlink r:id="rId38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Регламент устанавливает обязательства членов жюри: участие в обоих этапах, оценка не менее 80% назначенных кейсов, присутствие на онлайн‑голосовании с включенной камерой, а также подробные комментарии по проектам с разбором сильных/слабых сторон и рекомендацией.</w:t>
      </w:r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</w:p>
    <w:bookmarkEnd w:id="39"/>
    <w:bookmarkStart w:id="40" w:name="очнаяпубличная-защита-на-этапе-awarding"/>
    <w:p>
      <w:pPr>
        <w:pStyle w:val="Heading3"/>
      </w:pPr>
      <w:r>
        <w:t xml:space="preserve">Очная/публичная защита на этапе awarding</w:t>
      </w:r>
    </w:p>
    <w:p>
      <w:pPr>
        <w:pStyle w:val="FirstParagraph"/>
      </w:pPr>
      <w:r>
        <w:t xml:space="preserve">На этапе определения победителей предусмотрена защита проектов: проект презентуется номинантом (в регламенте указано 3 минуты на выступление и 12 минут на вопросы/дискуссию), после чего жюри выставляет оценки.</w:t>
      </w:r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Для AI‑жюри это важно как «модальность данных»: часть информации появляется в ходе Q&amp;A, и модель должна уметь обновлять оценку/уверенность после ответов (а также фиксировать,</w:t>
      </w:r>
      <w:r>
        <w:t xml:space="preserve"> </w:t>
      </w:r>
      <w:r>
        <w:rPr>
          <w:i/>
          <w:iCs/>
        </w:rPr>
        <w:t xml:space="preserve">какие ответы закрыли критические пробелы</w:t>
      </w:r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</w:p>
    <w:bookmarkEnd w:id="40"/>
    <w:bookmarkStart w:id="41" w:name="X5b51a438e138a240cbec9ca41fa89bdd3e43ed5"/>
    <w:p>
      <w:pPr>
        <w:pStyle w:val="Heading3"/>
      </w:pPr>
      <w:r>
        <w:t xml:space="preserve">Конфликт интересов и перераспределение голосов</w:t>
      </w:r>
    </w:p>
    <w:p>
      <w:pPr>
        <w:pStyle w:val="FirstParagraph"/>
      </w:pPr>
      <w:r>
        <w:t xml:space="preserve">Членам жюри запрещено оценивать проекты, к которым они или их компания имеют прямое/косвенное отношение; для таких случаев предусмотрена кнопка «Моя работа», а «балл за работу аффилированного члена» перераспределяется между остальными членами группы (метод взвешенных оценок).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Нарушения (голосование за аффилированный проект или оценка менее 80% кейсов) являются основанием для дисквалификации; оценки такого судьи аннулируются.</w:t>
      </w:r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</w:p>
    <w:bookmarkEnd w:id="41"/>
    <w:bookmarkStart w:id="42" w:name="Xabcf4538ffd2eb056506d16604b81ca76c31bd8"/>
    <w:p>
      <w:pPr>
        <w:pStyle w:val="Heading3"/>
      </w:pPr>
      <w:r>
        <w:t xml:space="preserve">Анонимность кейсов и видимость полей заявки</w:t>
      </w:r>
    </w:p>
    <w:p>
      <w:pPr>
        <w:pStyle w:val="FirstParagraph"/>
      </w:pPr>
      <w:r>
        <w:t xml:space="preserve">Регламент требует заполнять содержательные разделы заявки («Общая информация о проекте» и «Креативные материалы») в обезличенной форме: запрещено упоминать названия агентств/логотипы или сообщать, что проект сделан in‑house, чтобы жюри не знало автора; нарушение может вести к дисквалификации.</w:t>
      </w:r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Также явно указано, что члены жюри видят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поля этих разделов; незаполненные поля скрываются (в т.ч. при NDA допускается оставлять часть полей пустыми).</w:t>
      </w:r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Для AI‑жюри это задаёт строгую границу данных: модель должна принимать решения</w:t>
      </w:r>
      <w:r>
        <w:t xml:space="preserve"> </w:t>
      </w:r>
      <w:r>
        <w:rPr>
          <w:b/>
          <w:bCs/>
        </w:rPr>
        <w:t xml:space="preserve">только</w:t>
      </w:r>
      <w:r>
        <w:t xml:space="preserve"> </w:t>
      </w:r>
      <w:r>
        <w:t xml:space="preserve">по тем полям, которые доступны жюри, и не полагаться на «фоновые знания» о брендах/агентствах (это и риск утечки, и нарушение принципа обезличенности).</w:t>
      </w:r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</w:p>
    <w:bookmarkEnd w:id="42"/>
    <w:bookmarkStart w:id="44" w:name="X049f5a674f77cca465ec490a75296fe406dd61a"/>
    <w:p>
      <w:pPr>
        <w:pStyle w:val="Heading3"/>
      </w:pPr>
      <w:r>
        <w:t xml:space="preserve">Прозрачность результатов и публикация матриц</w:t>
      </w:r>
    </w:p>
    <w:p>
      <w:pPr>
        <w:pStyle w:val="FirstParagraph"/>
      </w:pPr>
      <w:r>
        <w:t xml:space="preserve">Регламент определяет «матрицу голосования» как сводную таблицу оценок, выставленных жюри всем проектам премии; она публикуется на официальном сайте после церемонии.</w:t>
      </w:r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На страницах победителей также заявлено наличие «полных результатов премии с оценками жюри» и ссылок на результаты longlisting/awarding.</w:t>
      </w:r>
      <w:r>
        <w:t xml:space="preserve"> </w:t>
      </w:r>
      <w:hyperlink r:id="rId43">
        <w:r>
          <w:rPr>
            <w:rStyle w:val="Hyperlink"/>
          </w:rPr>
          <w:t xml:space="preserve">[37]</w:t>
        </w:r>
      </w:hyperlink>
    </w:p>
    <w:p>
      <w:pPr>
        <w:pStyle w:val="BodyText"/>
      </w:pPr>
      <w:r>
        <w:t xml:space="preserve">Отраслевой материал подчёркивает, что по регламенту каждый член жюри письменно комментирует каждую оценку, а номинант может увидеть, кто и как оценил работу; это позиционируется как элемент прозрачности и обратной связи.</w:t>
      </w:r>
      <w:r>
        <w:t xml:space="preserve"> </w:t>
      </w:r>
      <w:hyperlink r:id="rId26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t xml:space="preserve">Mermaid‑диаграмма процесса (упрощённо, в терминах стадий и решений):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A[Подача заявки&lt;br/&gt;обезличенные поля + материалы] --&gt; B[Формирование лонг-листа&lt;br/&gt;онлайн голосование: Лонг / Не лонг]</w:t>
      </w:r>
      <w:r>
        <w:br/>
      </w:r>
      <w:r>
        <w:rPr>
          <w:rStyle w:val="VerbatimChar"/>
        </w:rPr>
        <w:t xml:space="preserve">  B --&gt;|&gt;50% "Лонг"| C[Лонг-лист: допуск к awarding]</w:t>
      </w:r>
      <w:r>
        <w:br/>
      </w:r>
      <w:r>
        <w:rPr>
          <w:rStyle w:val="VerbatimChar"/>
        </w:rPr>
        <w:t xml:space="preserve">  B --&gt;|&lt;=50% "Лонг"| D[Отклонение на 1 этапе]</w:t>
      </w:r>
      <w:r>
        <w:br/>
      </w:r>
      <w:r>
        <w:rPr>
          <w:rStyle w:val="VerbatimChar"/>
        </w:rPr>
        <w:t xml:space="preserve">  C --&gt; E[Awaring: защита проекта + вопросы]</w:t>
      </w:r>
      <w:r>
        <w:br/>
      </w:r>
      <w:r>
        <w:rPr>
          <w:rStyle w:val="VerbatimChar"/>
        </w:rPr>
        <w:t xml:space="preserve">  E --&gt; F[Оценки по критериям (1–10) + веса]</w:t>
      </w:r>
      <w:r>
        <w:br/>
      </w:r>
      <w:r>
        <w:rPr>
          <w:rStyle w:val="VerbatimChar"/>
        </w:rPr>
        <w:t xml:space="preserve">  F --&gt; G[Медиана по оценкам жюри]</w:t>
      </w:r>
      <w:r>
        <w:br/>
      </w:r>
      <w:r>
        <w:rPr>
          <w:rStyle w:val="VerbatimChar"/>
        </w:rPr>
        <w:t xml:space="preserve">  G --&gt; H[Решение: Gold/Silver/Bronze/Short-list/Long-list]</w:t>
      </w:r>
      <w:r>
        <w:br/>
      </w:r>
      <w:r>
        <w:rPr>
          <w:rStyle w:val="VerbatimChar"/>
        </w:rPr>
        <w:t xml:space="preserve">  H --&gt; I[Публикация результатов + матрица голосования]</w:t>
      </w:r>
    </w:p>
    <w:bookmarkEnd w:id="44"/>
    <w:bookmarkEnd w:id="45"/>
    <w:bookmarkStart w:id="50" w:name="рубрика-и-датасет-для-обучения-aiжюри"/>
    <w:p>
      <w:pPr>
        <w:pStyle w:val="Heading2"/>
      </w:pPr>
      <w:r>
        <w:t xml:space="preserve">Рубрика и датасет для обучения AI‑жюри</w:t>
      </w:r>
    </w:p>
    <w:bookmarkStart w:id="46" w:name="X4f76d3e27470c278af088e367faf78e47e65202"/>
    <w:p>
      <w:pPr>
        <w:pStyle w:val="Heading3"/>
      </w:pPr>
      <w:r>
        <w:t xml:space="preserve">Формальная рубрика для одной «оценки судьёй»</w:t>
      </w:r>
    </w:p>
    <w:p>
      <w:pPr>
        <w:pStyle w:val="FirstParagraph"/>
      </w:pPr>
      <w:r>
        <w:t xml:space="preserve">Ниже — минимально достаточная структура, чтобы AI мог действовать как член жюри</w:t>
      </w:r>
      <w:r>
        <w:t xml:space="preserve"> </w:t>
      </w:r>
      <w:r>
        <w:rPr>
          <w:i/>
          <w:iCs/>
        </w:rPr>
        <w:t xml:space="preserve">в рамках формальной методики</w:t>
      </w:r>
      <w:r>
        <w:t xml:space="preserve"> </w:t>
      </w:r>
      <w:r>
        <w:t xml:space="preserve">(а не «как критик»). Структура намеренно отражает регламент: критерии → баллы → комментарии → служебные флаги (категория/аффилированность/нехватка данных).</w:t>
      </w:r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</w:p>
    <w:p>
      <w:pPr>
        <w:pStyle w:val="BodyText"/>
      </w:pPr>
      <w:r>
        <w:rPr>
          <w:b/>
          <w:bCs/>
        </w:rPr>
        <w:t xml:space="preserve">Принципы кодирования баллов: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— целое в диапазоне 1..10 (поскольку уровни наград привязаны к целочисленным интервалам; для Social outcomes прямо указано «не дробная оценка от 1 до 10» в инструктивных материалах и в регламентной логике уровней).</w:t>
      </w:r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— обязательное текстовое обоснование по каждому критерию (в регламенте установлена обязанность подробного комментирования проектов; отраслевой источник подчёркивает обязательность комментария к каждой оценке).</w:t>
      </w:r>
      <w:r>
        <w:t xml:space="preserve"> </w:t>
      </w:r>
      <w:hyperlink r:id="rId21">
        <w:r>
          <w:rPr>
            <w:rStyle w:val="Hyperlink"/>
          </w:rPr>
          <w:t xml:space="preserve">[40]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abstain</w:t>
      </w:r>
      <w:r>
        <w:t xml:space="preserve"> </w:t>
      </w:r>
      <w:r>
        <w:t xml:space="preserve">допустим, если проект не может быть профессионально оценён; в таком случае должна быть причина, а голос перераспределяется по методу взвешенных оценок.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bookmarkEnd w:id="46"/>
    <w:bookmarkStart w:id="47" w:name="шаблон-json-schema-для-обученияинференса"/>
    <w:p>
      <w:pPr>
        <w:pStyle w:val="Heading3"/>
      </w:pPr>
      <w:r>
        <w:t xml:space="preserve">Шаблон JSON Schema для обучения/инференса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"$schema": "https://json-schema.org/draft/2020-12/schema",</w:t>
      </w:r>
      <w:r>
        <w:br/>
      </w:r>
      <w:r>
        <w:rPr>
          <w:rStyle w:val="VerbatimChar"/>
        </w:rPr>
        <w:t xml:space="preserve">  "title": "silver_mercury_jury_assessment",</w:t>
      </w:r>
      <w:r>
        <w:br/>
      </w:r>
      <w:r>
        <w:rPr>
          <w:rStyle w:val="VerbatimChar"/>
        </w:rPr>
        <w:t xml:space="preserve">  "type": "object",</w:t>
      </w:r>
      <w:r>
        <w:br/>
      </w:r>
      <w:r>
        <w:rPr>
          <w:rStyle w:val="VerbatimChar"/>
        </w:rPr>
        <w:t xml:space="preserve">  "required": ["case", "judge_action", "round", "criteria", "overall"],</w:t>
      </w:r>
      <w:r>
        <w:br/>
      </w:r>
      <w:r>
        <w:rPr>
          <w:rStyle w:val="VerbatimChar"/>
        </w:rPr>
        <w:t xml:space="preserve">  "properties": {</w:t>
      </w:r>
      <w:r>
        <w:br/>
      </w:r>
      <w:r>
        <w:rPr>
          <w:rStyle w:val="VerbatimChar"/>
        </w:rPr>
        <w:t xml:space="preserve">    "case":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["year", "block", "nomination_id", "case_id", "content"],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"year": { "type": "integer", "minimum": 2010, "maximum": 2100 },</w:t>
      </w:r>
      <w:r>
        <w:br/>
      </w:r>
      <w:r>
        <w:rPr>
          <w:rStyle w:val="VerbatimChar"/>
        </w:rPr>
        <w:t xml:space="preserve">        "block": { "type": "string", "enum": ["A","B","C","D","E","F","G","H","I","J","K","L"] },</w:t>
      </w:r>
      <w:r>
        <w:br/>
      </w:r>
      <w:r>
        <w:rPr>
          <w:rStyle w:val="VerbatimChar"/>
        </w:rPr>
        <w:t xml:space="preserve">        "nomination_id": { "type": "string", "minLength": 2, "maxLength": 10 },</w:t>
      </w:r>
      <w:r>
        <w:br/>
      </w:r>
      <w:r>
        <w:rPr>
          <w:rStyle w:val="VerbatimChar"/>
        </w:rPr>
        <w:t xml:space="preserve">        "case_id": { "type": "string", "minLength": 1, "maxLength": 64 },</w:t>
      </w:r>
      <w:r>
        <w:br/>
      </w:r>
      <w:r>
        <w:rPr>
          <w:rStyle w:val="VerbatimChar"/>
        </w:rPr>
        <w:t xml:space="preserve">        "is_social_oriented": { "type": "boolean" },</w:t>
      </w:r>
      <w:r>
        <w:br/>
      </w:r>
      <w:r>
        <w:rPr>
          <w:rStyle w:val="VerbatimChar"/>
        </w:rPr>
        <w:t xml:space="preserve">        "content": {</w:t>
      </w:r>
      <w:r>
        <w:br/>
      </w:r>
      <w:r>
        <w:rPr>
          <w:rStyle w:val="VerbatimChar"/>
        </w:rPr>
        <w:t xml:space="preserve">          "type": "object",</w:t>
      </w:r>
      <w:r>
        <w:br/>
      </w:r>
      <w:r>
        <w:rPr>
          <w:rStyle w:val="VerbatimChar"/>
        </w:rPr>
        <w:t xml:space="preserve">          "description": "Только поля, видимые жюри: 'Общая информация' и 'Креативные материалы'.",</w:t>
      </w:r>
      <w:r>
        <w:br/>
      </w:r>
      <w:r>
        <w:rPr>
          <w:rStyle w:val="VerbatimChar"/>
        </w:rPr>
        <w:t xml:space="preserve">          "properties": {</w:t>
      </w:r>
      <w:r>
        <w:br/>
      </w:r>
      <w:r>
        <w:rPr>
          <w:rStyle w:val="VerbatimChar"/>
        </w:rPr>
        <w:t xml:space="preserve">            "text_fields": { "type": "object", "additionalProperties": { "type": "string" } },</w:t>
      </w:r>
      <w:r>
        <w:br/>
      </w:r>
      <w:r>
        <w:rPr>
          <w:rStyle w:val="VerbatimChar"/>
        </w:rPr>
        <w:t xml:space="preserve">            "media_assets": {</w:t>
      </w:r>
      <w:r>
        <w:br/>
      </w:r>
      <w:r>
        <w:rPr>
          <w:rStyle w:val="VerbatimChar"/>
        </w:rPr>
        <w:t xml:space="preserve">              "type": "array",</w:t>
      </w:r>
      <w:r>
        <w:br/>
      </w:r>
      <w:r>
        <w:rPr>
          <w:rStyle w:val="VerbatimChar"/>
        </w:rPr>
        <w:t xml:space="preserve">              "items": {</w:t>
      </w:r>
      <w:r>
        <w:br/>
      </w:r>
      <w:r>
        <w:rPr>
          <w:rStyle w:val="VerbatimChar"/>
        </w:rPr>
        <w:t xml:space="preserve">                "type": "object",</w:t>
      </w:r>
      <w:r>
        <w:br/>
      </w:r>
      <w:r>
        <w:rPr>
          <w:rStyle w:val="VerbatimChar"/>
        </w:rPr>
        <w:t xml:space="preserve">                "required": ["asset_type", "ref"],</w:t>
      </w:r>
      <w:r>
        <w:br/>
      </w:r>
      <w:r>
        <w:rPr>
          <w:rStyle w:val="VerbatimChar"/>
        </w:rPr>
        <w:t xml:space="preserve">                "properties": {</w:t>
      </w:r>
      <w:r>
        <w:br/>
      </w:r>
      <w:r>
        <w:rPr>
          <w:rStyle w:val="VerbatimChar"/>
        </w:rPr>
        <w:t xml:space="preserve">                  "asset_type": { "type": "string", "enum": ["image","video","pdf","slide","link","other"] },</w:t>
      </w:r>
      <w:r>
        <w:br/>
      </w:r>
      <w:r>
        <w:rPr>
          <w:rStyle w:val="VerbatimChar"/>
        </w:rPr>
        <w:t xml:space="preserve">                  "ref": { "type": "string" },</w:t>
      </w:r>
      <w:r>
        <w:br/>
      </w:r>
      <w:r>
        <w:rPr>
          <w:rStyle w:val="VerbatimChar"/>
        </w:rPr>
        <w:t xml:space="preserve">                  "caption": { "type": "string" }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  }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"round": { "type": "string", "enum": ["longlisting", "awarding"] },</w:t>
      </w:r>
      <w:r>
        <w:br/>
      </w:r>
      <w:r>
        <w:rPr>
          <w:rStyle w:val="VerbatimChar"/>
        </w:rPr>
        <w:t xml:space="preserve">    "judge_action":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["conflict_of_interest", "category_fit"],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"conflict_of_interest": { "type": "boolean" },</w:t>
      </w:r>
      <w:r>
        <w:br/>
      </w:r>
      <w:r>
        <w:rPr>
          <w:rStyle w:val="VerbatimChar"/>
        </w:rPr>
        <w:t xml:space="preserve">        "category_fit": { "type": "string", "enum": ["fit", "borderline", "not_fit"] },</w:t>
      </w:r>
      <w:r>
        <w:br/>
      </w:r>
      <w:r>
        <w:rPr>
          <w:rStyle w:val="VerbatimChar"/>
        </w:rPr>
        <w:t xml:space="preserve">        "abstain": { "type": "boolean" },</w:t>
      </w:r>
      <w:r>
        <w:br/>
      </w:r>
      <w:r>
        <w:rPr>
          <w:rStyle w:val="VerbatimChar"/>
        </w:rPr>
        <w:t xml:space="preserve">        "abstain_reason": { "type": "string" },</w:t>
      </w:r>
      <w:r>
        <w:br/>
      </w:r>
      <w:r>
        <w:rPr>
          <w:rStyle w:val="VerbatimChar"/>
        </w:rPr>
        <w:t xml:space="preserve">        "longlist_vote": { "type": "string", "enum": ["long", "not_long", "my_work", "abstain", "n/a"]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"criteria": {</w:t>
      </w:r>
      <w:r>
        <w:br/>
      </w:r>
      <w:r>
        <w:rPr>
          <w:rStyle w:val="VerbatimChar"/>
        </w:rPr>
        <w:t xml:space="preserve">      "type": "array",</w:t>
      </w:r>
      <w:r>
        <w:br/>
      </w:r>
      <w:r>
        <w:rPr>
          <w:rStyle w:val="VerbatimChar"/>
        </w:rPr>
        <w:t xml:space="preserve">      "items": {</w:t>
      </w:r>
      <w:r>
        <w:br/>
      </w:r>
      <w:r>
        <w:rPr>
          <w:rStyle w:val="VerbatimChar"/>
        </w:rPr>
        <w:t xml:space="preserve">        "type": "object",</w:t>
      </w:r>
      <w:r>
        <w:br/>
      </w:r>
      <w:r>
        <w:rPr>
          <w:rStyle w:val="VerbatimChar"/>
        </w:rPr>
        <w:t xml:space="preserve">        "required": ["criterion_code", "name", "weight_pct", "score", "comment"],</w:t>
      </w:r>
      <w:r>
        <w:br/>
      </w:r>
      <w:r>
        <w:rPr>
          <w:rStyle w:val="VerbatimChar"/>
        </w:rPr>
        <w:t xml:space="preserve">        "properties": {</w:t>
      </w:r>
      <w:r>
        <w:br/>
      </w:r>
      <w:r>
        <w:rPr>
          <w:rStyle w:val="VerbatimChar"/>
        </w:rPr>
        <w:t xml:space="preserve">          "criterion_code": { "type": "string" },</w:t>
      </w:r>
      <w:r>
        <w:br/>
      </w:r>
      <w:r>
        <w:rPr>
          <w:rStyle w:val="VerbatimChar"/>
        </w:rPr>
        <w:t xml:space="preserve">          "name": { "type": "string" },</w:t>
      </w:r>
      <w:r>
        <w:br/>
      </w:r>
      <w:r>
        <w:rPr>
          <w:rStyle w:val="VerbatimChar"/>
        </w:rPr>
        <w:t xml:space="preserve">          "weight_pct": { "type": "number", "minimum": 0, "maximum": 100 },</w:t>
      </w:r>
      <w:r>
        <w:br/>
      </w:r>
      <w:r>
        <w:rPr>
          <w:rStyle w:val="VerbatimChar"/>
        </w:rPr>
        <w:t xml:space="preserve">          "score": { "type": "integer", "minimum": 1, "maximum": 10 },</w:t>
      </w:r>
      <w:r>
        <w:br/>
      </w:r>
      <w:r>
        <w:rPr>
          <w:rStyle w:val="VerbatimChar"/>
        </w:rPr>
        <w:t xml:space="preserve">          "comment": { "type": "string", "minLength": 1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"overall": {</w:t>
      </w:r>
      <w:r>
        <w:br/>
      </w:r>
      <w:r>
        <w:rPr>
          <w:rStyle w:val="VerbatimChar"/>
        </w:rPr>
        <w:t xml:space="preserve">      "type": "object",</w:t>
      </w:r>
      <w:r>
        <w:br/>
      </w:r>
      <w:r>
        <w:rPr>
          <w:rStyle w:val="VerbatimChar"/>
        </w:rPr>
        <w:t xml:space="preserve">      "required": ["weighted_score_estimate", "recommended_level", "confidence"],</w:t>
      </w:r>
      <w:r>
        <w:br/>
      </w:r>
      <w:r>
        <w:rPr>
          <w:rStyle w:val="VerbatimChar"/>
        </w:rPr>
        <w:t xml:space="preserve">      "properties": {</w:t>
      </w:r>
      <w:r>
        <w:br/>
      </w:r>
      <w:r>
        <w:rPr>
          <w:rStyle w:val="VerbatimChar"/>
        </w:rPr>
        <w:t xml:space="preserve">        "weighted_score_estimate": { "type": "number", "minimum": 1, "maximum": 10 },</w:t>
      </w:r>
      <w:r>
        <w:br/>
      </w:r>
      <w:r>
        <w:rPr>
          <w:rStyle w:val="VerbatimChar"/>
        </w:rPr>
        <w:t xml:space="preserve">        "recommended_level": {</w:t>
      </w:r>
      <w:r>
        <w:br/>
      </w:r>
      <w:r>
        <w:rPr>
          <w:rStyle w:val="VerbatimChar"/>
        </w:rPr>
        <w:t xml:space="preserve">          "type": "string",</w:t>
      </w:r>
      <w:r>
        <w:br/>
      </w:r>
      <w:r>
        <w:rPr>
          <w:rStyle w:val="VerbatimChar"/>
        </w:rPr>
        <w:t xml:space="preserve">          "enum": ["gold", "silver", "bronze", "shortlist", "longlist", "not_awardworthy", "n/a"]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"confidence": { "type": "number", "minimum": 0, "maximum": 1 },</w:t>
      </w:r>
      <w:r>
        <w:br/>
      </w:r>
      <w:r>
        <w:rPr>
          <w:rStyle w:val="VerbatimChar"/>
        </w:rPr>
        <w:t xml:space="preserve">        "uncertainty_reasons": { "type": "array", "items": { "type": "string" }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Почему именно такие поля: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category_fit</w:t>
      </w:r>
      <w:r>
        <w:t xml:space="preserve"> </w:t>
      </w:r>
      <w:r>
        <w:t xml:space="preserve">и запрет «переноса проекта в другую номинацию» критичны, потому что жюри не может переквалифицировать кейс; при неверной номинации допускается минимальная оценка.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conflict_of_interest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my_work</w:t>
      </w:r>
      <w:r>
        <w:t xml:space="preserve"> </w:t>
      </w:r>
      <w:r>
        <w:t xml:space="preserve">отражают официальный механизм отвода и перераспределения голосов.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ограничен «видимыми» полями заявки — это прямо зафиксировано регламентом.</w:t>
      </w:r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</w:p>
    <w:bookmarkEnd w:id="47"/>
    <w:bookmarkStart w:id="48" w:name="csvсписок-колонок-для-обучающей-выборки"/>
    <w:p>
      <w:pPr>
        <w:pStyle w:val="Heading3"/>
      </w:pPr>
      <w:r>
        <w:t xml:space="preserve">CSV‑список колонок для обучающей выборки</w:t>
      </w:r>
    </w:p>
    <w:p>
      <w:pPr>
        <w:pStyle w:val="FirstParagraph"/>
      </w:pPr>
      <w:r>
        <w:t xml:space="preserve">Практически удобен «long format» на уровне</w:t>
      </w:r>
      <w:r>
        <w:t xml:space="preserve"> </w:t>
      </w:r>
      <w:r>
        <w:rPr>
          <w:i/>
          <w:iCs/>
        </w:rPr>
        <w:t xml:space="preserve">одна строка = один судья × один кейс × один критерий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year, round, block, nomination_id, case_id, is_social_oriented, judge_id_hash, conflict_of_interest, category_fit, abstain, longlist_vote, criterion_code, criterion_name, weight_pct, score_int_1_10, comment_text, weighted_component, overall_weighted_score_estimate, recommended_level, confidence_0_1</w:t>
      </w:r>
    </w:p>
    <w:p>
      <w:pPr>
        <w:pStyle w:val="BodyText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judge_id_hash</w:t>
      </w:r>
      <w:r>
        <w:t xml:space="preserve"> </w:t>
      </w:r>
      <w:r>
        <w:t xml:space="preserve">— хеш/псевдоним (не хранить ФИО, чтобы не обучать модель «на персоналиях» и снизить риск утечек/предвзятости). Это согласуется с принципом обезличивания, который в методике применяется к заявкам для жюри.</w:t>
      </w:r>
      <w:r>
        <w:t xml:space="preserve"> </w:t>
      </w:r>
      <w:hyperlink r:id="rId21">
        <w:r>
          <w:rPr>
            <w:rStyle w:val="Hyperlink"/>
          </w:rPr>
          <w:t xml:space="preserve">[41]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overall_weighted_score_estimate</w:t>
      </w:r>
      <w:r>
        <w:t xml:space="preserve"> </w:t>
      </w:r>
      <w:r>
        <w:t xml:space="preserve">для тренировочных целей можно вычислять детерминированно из строк критериев (веса × баллы). Основание — формулировка о перемножении весов критериев и оценок.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48"/>
    <w:bookmarkStart w:id="49" w:name="X095fbb3e92a95fdb6eb48cf5a6445df15ff77eb"/>
    <w:p>
      <w:pPr>
        <w:pStyle w:val="Heading3"/>
      </w:pPr>
      <w:r>
        <w:t xml:space="preserve">Правила принятия решений и работа с неопределённостью</w:t>
      </w:r>
    </w:p>
    <w:p>
      <w:pPr>
        <w:pStyle w:val="FirstParagraph"/>
      </w:pPr>
      <w:r>
        <w:rPr>
          <w:b/>
          <w:bCs/>
        </w:rPr>
        <w:t xml:space="preserve">Longlisting (рекомендация AI как члена жюри):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my_work</w:t>
      </w:r>
      <w:r>
        <w:t xml:space="preserve">, если</w:t>
      </w:r>
      <w:r>
        <w:t xml:space="preserve"> </w:t>
      </w:r>
      <w:r>
        <w:rPr>
          <w:rStyle w:val="VerbatimChar"/>
        </w:rPr>
        <w:t xml:space="preserve">conflict_of_interest=true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abstain</w:t>
      </w:r>
      <w:r>
        <w:t xml:space="preserve">, если проект «не может быть профессионально оценён» (например, вне компетенции или критически мало данных из‑за NDA).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br/>
      </w:r>
      <w:r>
        <w:t xml:space="preserve">- иначе: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 если категория соответствует и минимально соблюдена связка «задача → решение → результат» (эта логика не формализована в регламенте как правило, но следует из структуры критериев, особенно результатов/эффективности; как минимум жюри должно иметь материал для оценивания результатов).</w:t>
      </w:r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</w:p>
    <w:p>
      <w:pPr>
        <w:pStyle w:val="BodyText"/>
      </w:pPr>
      <w:r>
        <w:rPr>
          <w:b/>
          <w:bCs/>
        </w:rPr>
        <w:t xml:space="preserve">Awarding (оценка по критериям):</w:t>
      </w:r>
      <w:r>
        <w:t xml:space="preserve"> </w:t>
      </w:r>
      <w:r>
        <w:t xml:space="preserve">- ставить баллы по каждому критерию и давать письменное обоснование.</w:t>
      </w:r>
      <w:r>
        <w:t xml:space="preserve"> </w:t>
      </w:r>
      <w:hyperlink r:id="rId21">
        <w:r>
          <w:rPr>
            <w:rStyle w:val="Hyperlink"/>
          </w:rPr>
          <w:t xml:space="preserve">[40]</w:t>
        </w:r>
      </w:hyperlink>
      <w:r>
        <w:br/>
      </w:r>
      <w:r>
        <w:t xml:space="preserve">- присваивать «уровень» по собственной итоговой оценке, ориентируясь на официальные диапазоны (9–10, 7–8, 5–6, 3–4, 1–2).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br/>
      </w:r>
      <w:r>
        <w:t xml:space="preserve">- при</w:t>
      </w:r>
      <w:r>
        <w:t xml:space="preserve"> </w:t>
      </w:r>
      <w:r>
        <w:rPr>
          <w:rStyle w:val="VerbatimChar"/>
        </w:rPr>
        <w:t xml:space="preserve">category_fit=not_fit</w:t>
      </w:r>
      <w:r>
        <w:t xml:space="preserve"> </w:t>
      </w:r>
      <w:r>
        <w:t xml:space="preserve">— либо</w:t>
      </w:r>
      <w:r>
        <w:t xml:space="preserve"> </w:t>
      </w:r>
      <w:r>
        <w:rPr>
          <w:rStyle w:val="VerbatimChar"/>
        </w:rPr>
        <w:t xml:space="preserve">abstain</w:t>
      </w:r>
      <w:r>
        <w:t xml:space="preserve">, либо минимальные баллы (регламент прямо допускает минимальную оценку, если проект заявлен «в неподходящую номинацию»).</w:t>
      </w:r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rPr>
          <w:b/>
          <w:bCs/>
        </w:rPr>
        <w:t xml:space="preserve">Неопределённость:</w:t>
      </w:r>
      <w:r>
        <w:t xml:space="preserve"> </w:t>
      </w:r>
      <w:r>
        <w:t xml:space="preserve">- хранить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и список причин (NDA‑поля пусты, нет доказаний результатов, неясен causal‑link между действиями и метриками). Это соответствует реальной ситуации: регламент допускает пустые поля при NDA и скрытие незаполненных полей от жюри — то есть «недоказанность» может быть структурной.</w:t>
      </w:r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</w:p>
    <w:bookmarkEnd w:id="49"/>
    <w:bookmarkEnd w:id="50"/>
    <w:bookmarkStart w:id="57" w:name="риски-смещения-и-меры-снижения"/>
    <w:p>
      <w:pPr>
        <w:pStyle w:val="Heading2"/>
      </w:pPr>
      <w:r>
        <w:t xml:space="preserve">Риски, смещения и меры снижения</w:t>
      </w:r>
    </w:p>
    <w:bookmarkStart w:id="53" w:name="Xc423d3cbc9a96a1b9d38b5aff7357a53d2db7cd"/>
    <w:p>
      <w:pPr>
        <w:pStyle w:val="Heading3"/>
      </w:pPr>
      <w:r>
        <w:t xml:space="preserve">Какие систематические смещения характерны для жюри и award‑judging</w:t>
      </w:r>
    </w:p>
    <w:p>
      <w:pPr>
        <w:pStyle w:val="FirstParagraph"/>
      </w:pPr>
      <w:r>
        <w:t xml:space="preserve">Даже при формальной шкале и весах экспертные оценки подвержены когнитивным и групповым искажениям: эффект якоря (первое впечатление задаёт «норму»), эффект ореола (один сильный аспект подсвечивает остальные), подтверждающее смещение и «слепое пятно к собственным предубеждениям». Обзоры по когнитивным смещениям фиксируют эти паттерны как типовые для решений в условиях неопределённости и ограниченного времени.</w:t>
      </w:r>
      <w:r>
        <w:t xml:space="preserve"> </w:t>
      </w:r>
      <w:hyperlink r:id="rId51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Для креативных премий в академической литературе также обсуждаются проблемы валидности «award‑winning» как сигнала качества и риски специфических стратегий «под премии» (например, феномен «фейковых/непубличных» кампаний, создаваемых ради наград).</w:t>
      </w:r>
      <w:r>
        <w:t xml:space="preserve"> </w:t>
      </w:r>
      <w:hyperlink r:id="rId52">
        <w:r>
          <w:rPr>
            <w:rStyle w:val="Hyperlink"/>
          </w:rPr>
          <w:t xml:space="preserve">[45]</w:t>
        </w:r>
      </w:hyperlink>
    </w:p>
    <w:bookmarkEnd w:id="53"/>
    <w:bookmarkStart w:id="54" w:name="Xad0d2b4395a425ccd710d8b73580b590506bff8"/>
    <w:p>
      <w:pPr>
        <w:pStyle w:val="Heading3"/>
      </w:pPr>
      <w:r>
        <w:t xml:space="preserve">Что в методике Silver Mercury уже работает как анти‑bias</w:t>
      </w:r>
    </w:p>
    <w:p>
      <w:pPr>
        <w:pStyle w:val="FirstParagraph"/>
      </w:pPr>
      <w:r>
        <w:t xml:space="preserve">Три элемента методики напрямую бьют по наиболее частым смещениям:</w:t>
      </w:r>
      <w:r>
        <w:t xml:space="preserve"> </w:t>
      </w:r>
      <w:r>
        <w:t xml:space="preserve">1)</w:t>
      </w:r>
      <w:r>
        <w:t xml:space="preserve"> </w:t>
      </w:r>
      <w:r>
        <w:rPr>
          <w:b/>
          <w:bCs/>
        </w:rPr>
        <w:t xml:space="preserve">Обезличивание содержательных полей</w:t>
      </w:r>
      <w:r>
        <w:t xml:space="preserve"> </w:t>
      </w:r>
      <w:r>
        <w:t xml:space="preserve">(жюри не должно знать агентство/автора) снижает ореол известности и бренд‑фаворитизм.</w:t>
      </w:r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Невозможность аффилированного голосования</w:t>
      </w:r>
      <w:r>
        <w:t xml:space="preserve"> </w:t>
      </w:r>
      <w:r>
        <w:t xml:space="preserve">+ автоматическое перераспределение веса голоса снижает прямой конфликт интересов и «проталкивание».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Медиана как агрегатор</w:t>
      </w:r>
      <w:r>
        <w:t xml:space="preserve"> </w:t>
      </w:r>
      <w:r>
        <w:t xml:space="preserve">(вместо среднего) уменьшает влияние крайних оценок «строгих» или «щедрых» судей.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Дополнительный усилитель прозрачности — обязательные письменные комментарии и возможность для номинанта видеть оценки/оценщиков; это повышает подотчётность и снижает вероятность «необоснованного» голоса.</w:t>
      </w:r>
      <w:r>
        <w:t xml:space="preserve"> </w:t>
      </w:r>
      <w:hyperlink r:id="rId26">
        <w:r>
          <w:rPr>
            <w:rStyle w:val="Hyperlink"/>
          </w:rPr>
          <w:t xml:space="preserve">[46]</w:t>
        </w:r>
      </w:hyperlink>
    </w:p>
    <w:bookmarkEnd w:id="54"/>
    <w:bookmarkStart w:id="56" w:name="X808b9ed09e4495fdf05c9d8d097d494f9f21b7b"/>
    <w:p>
      <w:pPr>
        <w:pStyle w:val="Heading3"/>
      </w:pPr>
      <w:r>
        <w:t xml:space="preserve">Рекомендации по снижению смещений при обучении и применении AI‑жюри</w:t>
      </w:r>
    </w:p>
    <w:p>
      <w:pPr>
        <w:pStyle w:val="FirstParagraph"/>
      </w:pPr>
      <w:r>
        <w:t xml:space="preserve">Чтобы AI‑жюри не «законсервировало» исторические перекосы, полезно встроить анти‑bias прямо в датасет и inference‑правила:</w:t>
      </w:r>
    </w:p>
    <w:p>
      <w:pPr>
        <w:pStyle w:val="BodyText"/>
      </w:pPr>
      <w:r>
        <w:t xml:space="preserve">Калибровка и нормировка:</w:t>
      </w:r>
      <w:r>
        <w:t xml:space="preserve"> </w:t>
      </w:r>
      <w:r>
        <w:t xml:space="preserve">- хранить и мониторить «стиль судьи» (leniency/severity) как латентный фактор и при обучении отделять «сигнал кейса» от «сигнала судьи»; медиана в официальной процедуре — хороший ориентир для робастной агрегации.</w:t>
      </w:r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</w:p>
    <w:p>
      <w:pPr>
        <w:pStyle w:val="BodyText"/>
      </w:pPr>
      <w:r>
        <w:t xml:space="preserve">Контроль порядка и якорей:</w:t>
      </w:r>
      <w:r>
        <w:t xml:space="preserve"> </w:t>
      </w:r>
      <w:r>
        <w:t xml:space="preserve">- при обучении перемешивать порядок кейсов, а при инференсе — избегать показа «средних по пулу» до выставления собственных оценок (известно, что якорение и групповое якорение ухудшают независимость оценок).</w:t>
      </w:r>
      <w:r>
        <w:t xml:space="preserve"> </w:t>
      </w:r>
      <w:hyperlink r:id="rId55">
        <w:r>
          <w:rPr>
            <w:rStyle w:val="Hyperlink"/>
          </w:rPr>
          <w:t xml:space="preserve">[48]</w:t>
        </w:r>
      </w:hyperlink>
    </w:p>
    <w:p>
      <w:pPr>
        <w:pStyle w:val="BodyText"/>
      </w:pPr>
      <w:r>
        <w:t xml:space="preserve">Контроль «вне‑документных знаний»:</w:t>
      </w:r>
      <w:r>
        <w:t xml:space="preserve"> </w:t>
      </w:r>
      <w:r>
        <w:t xml:space="preserve">- запрещать модели использовать названия агентств/команд даже если они «узнаны» из материалов; это прямо соответствует требованию обезличивания.</w:t>
      </w:r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Политика «не знаю»:</w:t>
      </w:r>
      <w:r>
        <w:t xml:space="preserve"> </w:t>
      </w:r>
      <w:r>
        <w:t xml:space="preserve">- поощрять</w:t>
      </w:r>
      <w:r>
        <w:t xml:space="preserve"> </w:t>
      </w:r>
      <w:r>
        <w:rPr>
          <w:rStyle w:val="VerbatimChar"/>
        </w:rPr>
        <w:t xml:space="preserve">abstain</w:t>
      </w:r>
      <w:r>
        <w:t xml:space="preserve">/низкую уверенность, если ключевые доказательства отсутствуют (особенно для Results/Effectiveness) — это ближе к нормативной обязанности воздержаться от оценки, если проект не может быть профессионально оценён.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Сопоставление с международными практиками (как sanity‑check):</w:t>
      </w:r>
      <w:r>
        <w:t xml:space="preserve"> </w:t>
      </w:r>
      <w:r>
        <w:t xml:space="preserve">- многораундность судейства и раннее индивидуальное выставление оценок характерны и для крупных фестивалей, хотя шкалы различаются (например, 1–9 и shortlisting‑процент в Cannes Lions, 4‑пилларная модель в Effie). Эти источники полезны как «внешний контроль разумности» при проектировании AI‑процесса, если в локальной методике остаются неоговоренные детали (например, точная формула нормировки взвешенной суммы).</w:t>
      </w:r>
      <w:r>
        <w:t xml:space="preserve"> </w:t>
      </w:r>
      <w:hyperlink r:id="rId22">
        <w:r>
          <w:rPr>
            <w:rStyle w:val="Hyperlink"/>
          </w:rPr>
          <w:t xml:space="preserve">[49]</w:t>
        </w:r>
      </w:hyperlink>
    </w:p>
    <w:bookmarkEnd w:id="56"/>
    <w:bookmarkEnd w:id="57"/>
    <w:bookmarkEnd w:id="58"/>
    <w:bookmarkEnd w:id="59"/>
    <w:p>
      <w:r>
        <w:pict>
          <v:rect style="width:0;height:1.5pt" o:hralign="center" o:hrstd="t" o:hr="t"/>
        </w:pict>
      </w:r>
    </w:p>
    <w:bookmarkStart w:id="6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[15]</w:t>
        </w:r>
      </w:hyperlink>
      <w:r>
        <w:t xml:space="preserve"> </w:t>
      </w:r>
      <w:hyperlink r:id="rId21">
        <w:r>
          <w:rPr>
            <w:rStyle w:val="Hyperlink"/>
          </w:rPr>
          <w:t xml:space="preserve">[16]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[19]</w:t>
        </w:r>
      </w:hyperlink>
      <w:r>
        <w:t xml:space="preserve"> </w:t>
      </w:r>
      <w:hyperlink r:id="rId21">
        <w:r>
          <w:rPr>
            <w:rStyle w:val="Hyperlink"/>
          </w:rPr>
          <w:t xml:space="preserve">[20]</w:t>
        </w:r>
      </w:hyperlink>
      <w:r>
        <w:t xml:space="preserve"> </w:t>
      </w:r>
      <w:hyperlink r:id="rId21">
        <w:r>
          <w:rPr>
            <w:rStyle w:val="Hyperlink"/>
          </w:rPr>
          <w:t xml:space="preserve">[21]</w:t>
        </w:r>
      </w:hyperlink>
      <w:r>
        <w:t xml:space="preserve"> </w:t>
      </w:r>
      <w:hyperlink r:id="rId21">
        <w:r>
          <w:rPr>
            <w:rStyle w:val="Hyperlink"/>
          </w:rPr>
          <w:t xml:space="preserve">[22]</w:t>
        </w:r>
      </w:hyperlink>
      <w:r>
        <w:t xml:space="preserve"> </w:t>
      </w:r>
      <w:hyperlink r:id="rId21">
        <w:r>
          <w:rPr>
            <w:rStyle w:val="Hyperlink"/>
          </w:rPr>
          <w:t xml:space="preserve">[23]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[26]</w:t>
        </w:r>
      </w:hyperlink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  <w:r>
        <w:t xml:space="preserve"> </w:t>
      </w:r>
      <w:hyperlink r:id="rId21">
        <w:r>
          <w:rPr>
            <w:rStyle w:val="Hyperlink"/>
          </w:rPr>
          <w:t xml:space="preserve">[28]</w:t>
        </w:r>
      </w:hyperlink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  <w:r>
        <w:t xml:space="preserve"> </w:t>
      </w:r>
      <w:hyperlink r:id="rId21">
        <w:r>
          <w:rPr>
            <w:rStyle w:val="Hyperlink"/>
          </w:rPr>
          <w:t xml:space="preserve">[31]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hyperlink r:id="rId21">
        <w:r>
          <w:rPr>
            <w:rStyle w:val="Hyperlink"/>
          </w:rPr>
          <w:t xml:space="preserve">[33]</w:t>
        </w:r>
      </w:hyperlink>
      <w:r>
        <w:t xml:space="preserve"> </w:t>
      </w:r>
      <w:hyperlink r:id="rId21">
        <w:r>
          <w:rPr>
            <w:rStyle w:val="Hyperlink"/>
          </w:rPr>
          <w:t xml:space="preserve">[34]</w:t>
        </w:r>
      </w:hyperlink>
      <w:r>
        <w:t xml:space="preserve"> </w:t>
      </w:r>
      <w:hyperlink r:id="rId21">
        <w:r>
          <w:rPr>
            <w:rStyle w:val="Hyperlink"/>
          </w:rPr>
          <w:t xml:space="preserve">[35]</w:t>
        </w:r>
      </w:hyperlink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  <w:r>
        <w:t xml:space="preserve"> </w:t>
      </w:r>
      <w:hyperlink r:id="rId21">
        <w:r>
          <w:rPr>
            <w:rStyle w:val="Hyperlink"/>
          </w:rPr>
          <w:t xml:space="preserve">[38]</w:t>
        </w:r>
      </w:hyperlink>
      <w:r>
        <w:t xml:space="preserve"> </w:t>
      </w:r>
      <w:hyperlink r:id="rId21">
        <w:r>
          <w:rPr>
            <w:rStyle w:val="Hyperlink"/>
          </w:rPr>
          <w:t xml:space="preserve">[39]</w:t>
        </w:r>
      </w:hyperlink>
      <w:r>
        <w:t xml:space="preserve"> </w:t>
      </w:r>
      <w:hyperlink r:id="rId21">
        <w:r>
          <w:rPr>
            <w:rStyle w:val="Hyperlink"/>
          </w:rPr>
          <w:t xml:space="preserve">[40]</w:t>
        </w:r>
      </w:hyperlink>
      <w:r>
        <w:t xml:space="preserve"> </w:t>
      </w:r>
      <w:hyperlink r:id="rId21">
        <w:r>
          <w:rPr>
            <w:rStyle w:val="Hyperlink"/>
          </w:rPr>
          <w:t xml:space="preserve">[41]</w:t>
        </w:r>
      </w:hyperlink>
      <w:r>
        <w:t xml:space="preserve"> </w:t>
      </w:r>
      <w:hyperlink r:id="rId21">
        <w:r>
          <w:rPr>
            <w:rStyle w:val="Hyperlink"/>
          </w:rPr>
          <w:t xml:space="preserve">[42]</w:t>
        </w:r>
      </w:hyperlink>
      <w:r>
        <w:t xml:space="preserve"> </w:t>
      </w:r>
      <w:hyperlink r:id="rId21">
        <w:r>
          <w:rPr>
            <w:rStyle w:val="Hyperlink"/>
          </w:rPr>
          <w:t xml:space="preserve">[43]</w:t>
        </w:r>
      </w:hyperlink>
      <w:r>
        <w:t xml:space="preserve"> </w:t>
      </w:r>
      <w:hyperlink r:id="rId21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https://old.silvermercury.ru/upload/sitefiles/files/%D0%A0%D0%B5%D0%B3%D0%BB%D0%B0%D0%BC%D0%B5%D0%BD%D1%82_2025.pdf</w:t>
      </w:r>
    </w:p>
    <w:p>
      <w:pPr>
        <w:pStyle w:val="BodyText"/>
      </w:pPr>
      <w:hyperlink r:id="rId21">
        <w:r>
          <w:rPr>
            <w:rStyle w:val="Hyperlink"/>
          </w:rPr>
          <w:t xml:space="preserve">https://old.silvermercury.ru/upload/sitefiles/files/%D0%A0%D0%B5%D0%B3%D0%BB%D0%B0%D0%BC%D0%B5%D0%BD%D1%82_2025.pdf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https://www.canneslions.com/awards/awards-support/how-judging-works</w:t>
      </w:r>
    </w:p>
    <w:p>
      <w:pPr>
        <w:pStyle w:val="BodyText"/>
      </w:pPr>
      <w:hyperlink r:id="rId22">
        <w:r>
          <w:rPr>
            <w:rStyle w:val="Hyperlink"/>
          </w:rPr>
          <w:t xml:space="preserve">https://www.canneslions.com/awards/awards-support/how-judging-works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https://silvermercury.ru/</w:t>
      </w:r>
    </w:p>
    <w:p>
      <w:pPr>
        <w:pStyle w:val="BodyText"/>
      </w:pPr>
      <w:hyperlink r:id="rId24">
        <w:r>
          <w:rPr>
            <w:rStyle w:val="Hyperlink"/>
          </w:rPr>
          <w:t xml:space="preserve">https://silvermercury.ru/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(no title)</w:t>
      </w:r>
    </w:p>
    <w:p>
      <w:pPr>
        <w:pStyle w:val="BodyText"/>
      </w:pPr>
      <w:hyperlink r:id="rId25"/>
    </w:p>
    <w:p>
      <w:pPr>
        <w:pStyle w:val="BodyText"/>
      </w:pPr>
      <w:hyperlink r:id="rId26">
        <w:r>
          <w:rPr>
            <w:rStyle w:val="Hyperlink"/>
          </w:rPr>
          <w:t xml:space="preserve">[14]</w:t>
        </w:r>
      </w:hyperlink>
      <w:r>
        <w:t xml:space="preserve"> </w:t>
      </w:r>
      <w:hyperlink r:id="rId26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https://raec.ru/live/branch/13138/</w:t>
      </w:r>
    </w:p>
    <w:p>
      <w:pPr>
        <w:pStyle w:val="BodyText"/>
      </w:pPr>
      <w:hyperlink r:id="rId26">
        <w:r>
          <w:rPr>
            <w:rStyle w:val="Hyperlink"/>
          </w:rPr>
          <w:t xml:space="preserve">https://raec.ru/live/branch/13138/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https://test.silvermercury.ru/nominations/G01</w:t>
      </w:r>
    </w:p>
    <w:p>
      <w:pPr>
        <w:pStyle w:val="BodyText"/>
      </w:pPr>
      <w:hyperlink r:id="rId30">
        <w:r>
          <w:rPr>
            <w:rStyle w:val="Hyperlink"/>
          </w:rPr>
          <w:t xml:space="preserve">https://test.silvermercury.ru/nominations/G01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https://test.silvermercury.ru/how-to-become-a-jury</w:t>
      </w:r>
    </w:p>
    <w:p>
      <w:pPr>
        <w:pStyle w:val="BodyText"/>
      </w:pPr>
      <w:hyperlink r:id="rId38">
        <w:r>
          <w:rPr>
            <w:rStyle w:val="Hyperlink"/>
          </w:rPr>
          <w:t xml:space="preserve">https://test.silvermercury.ru/how-to-become-a-jury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https://silvermercury.ru/winners/2024</w:t>
      </w:r>
    </w:p>
    <w:p>
      <w:pPr>
        <w:pStyle w:val="BodyText"/>
      </w:pPr>
      <w:hyperlink r:id="rId43">
        <w:r>
          <w:rPr>
            <w:rStyle w:val="Hyperlink"/>
          </w:rPr>
          <w:t xml:space="preserve">https://silvermercury.ru/winners/2024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https://www.mitre.org/sites/default/files/publications/pr-16-0956-the-assessment-of-biases-in-cognition.pdf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https://www.mitre.org/sites/default/files/publications/pr-16-0956-the-assessment-of-biases-in-cognition.pdf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https://www.econstor.eu/bitstream/10419/103709/1/3312.pdf</w:t>
      </w:r>
    </w:p>
    <w:p>
      <w:pPr>
        <w:pStyle w:val="BodyText"/>
      </w:pPr>
      <w:hyperlink r:id="rId52">
        <w:r>
          <w:rPr>
            <w:rStyle w:val="Hyperlink"/>
          </w:rPr>
          <w:t xml:space="preserve">https://www.econstor.eu/bitstream/10419/103709/1/3312.pdf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https://www.researchgate.net/publication/324868319_The_anchoring-bias_in_groups</w:t>
      </w:r>
    </w:p>
    <w:p>
      <w:pPr>
        <w:pStyle w:val="BodyText"/>
      </w:pPr>
      <w:hyperlink r:id="rId55">
        <w:r>
          <w:rPr>
            <w:rStyle w:val="Hyperlink"/>
          </w:rPr>
          <w:t xml:space="preserve">https://www.researchgate.net/publication/324868319_The_anchoring-bias_in_groups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" TargetMode="External" /><Relationship Type="http://schemas.openxmlformats.org/officeDocument/2006/relationships/hyperlink" Id="rId21" Target="https://old.silvermercury.ru/upload/sitefiles/files/%D0%A0%D0%B5%D0%B3%D0%BB%D0%B0%D0%BC%D0%B5%D0%BD%D1%82_2025.pdf" TargetMode="External" /><Relationship Type="http://schemas.openxmlformats.org/officeDocument/2006/relationships/hyperlink" Id="rId26" Target="https://raec.ru/live/branch/13138/" TargetMode="External" /><Relationship Type="http://schemas.openxmlformats.org/officeDocument/2006/relationships/hyperlink" Id="rId24" Target="https://silvermercury.ru/" TargetMode="External" /><Relationship Type="http://schemas.openxmlformats.org/officeDocument/2006/relationships/hyperlink" Id="rId43" Target="https://silvermercury.ru/winners/2024" TargetMode="External" /><Relationship Type="http://schemas.openxmlformats.org/officeDocument/2006/relationships/hyperlink" Id="rId38" Target="https://test.silvermercury.ru/how-to-become-a-jury" TargetMode="External" /><Relationship Type="http://schemas.openxmlformats.org/officeDocument/2006/relationships/hyperlink" Id="rId30" Target="https://test.silvermercury.ru/nominations/G01" TargetMode="External" /><Relationship Type="http://schemas.openxmlformats.org/officeDocument/2006/relationships/hyperlink" Id="rId22" Target="https://www.canneslions.com/awards/awards-support/how-judging-works" TargetMode="External" /><Relationship Type="http://schemas.openxmlformats.org/officeDocument/2006/relationships/hyperlink" Id="rId52" Target="https://www.econstor.eu/bitstream/10419/103709/1/3312.pdf" TargetMode="External" /><Relationship Type="http://schemas.openxmlformats.org/officeDocument/2006/relationships/hyperlink" Id="rId51" Target="https://www.mitre.org/sites/default/files/publications/pr-16-0956-the-assessment-of-biases-in-cognition.pdf" TargetMode="External" /><Relationship Type="http://schemas.openxmlformats.org/officeDocument/2006/relationships/hyperlink" Id="rId55" Target="https://www.researchgate.net/publication/324868319_The_anchoring-bias_in_group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" TargetMode="External" /><Relationship Type="http://schemas.openxmlformats.org/officeDocument/2006/relationships/hyperlink" Id="rId21" Target="https://old.silvermercury.ru/upload/sitefiles/files/%D0%A0%D0%B5%D0%B3%D0%BB%D0%B0%D0%BC%D0%B5%D0%BD%D1%82_2025.pdf" TargetMode="External" /><Relationship Type="http://schemas.openxmlformats.org/officeDocument/2006/relationships/hyperlink" Id="rId26" Target="https://raec.ru/live/branch/13138/" TargetMode="External" /><Relationship Type="http://schemas.openxmlformats.org/officeDocument/2006/relationships/hyperlink" Id="rId24" Target="https://silvermercury.ru/" TargetMode="External" /><Relationship Type="http://schemas.openxmlformats.org/officeDocument/2006/relationships/hyperlink" Id="rId43" Target="https://silvermercury.ru/winners/2024" TargetMode="External" /><Relationship Type="http://schemas.openxmlformats.org/officeDocument/2006/relationships/hyperlink" Id="rId38" Target="https://test.silvermercury.ru/how-to-become-a-jury" TargetMode="External" /><Relationship Type="http://schemas.openxmlformats.org/officeDocument/2006/relationships/hyperlink" Id="rId30" Target="https://test.silvermercury.ru/nominations/G01" TargetMode="External" /><Relationship Type="http://schemas.openxmlformats.org/officeDocument/2006/relationships/hyperlink" Id="rId22" Target="https://www.canneslions.com/awards/awards-support/how-judging-works" TargetMode="External" /><Relationship Type="http://schemas.openxmlformats.org/officeDocument/2006/relationships/hyperlink" Id="rId52" Target="https://www.econstor.eu/bitstream/10419/103709/1/3312.pdf" TargetMode="External" /><Relationship Type="http://schemas.openxmlformats.org/officeDocument/2006/relationships/hyperlink" Id="rId51" Target="https://www.mitre.org/sites/default/files/publications/pr-16-0956-the-assessment-of-biases-in-cognition.pdf" TargetMode="External" /><Relationship Type="http://schemas.openxmlformats.org/officeDocument/2006/relationships/hyperlink" Id="rId55" Target="https://www.researchgate.net/publication/324868319_The_anchoring-bias_in_group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2026-02-19T11:37:15Z</dcterms:created>
  <dcterms:modified xsi:type="dcterms:W3CDTF">2026-02-19T11:37:15Z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