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59A97C" w14:textId="77777777" w:rsidR="0076084A" w:rsidRDefault="0076084A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0C7D2D7" w14:textId="0FB7CD05" w:rsidR="0076084A" w:rsidRPr="000F4AC9" w:rsidRDefault="0076084A">
      <w:pPr>
        <w:widowControl w:val="0"/>
        <w:autoSpaceDE w:val="0"/>
        <w:autoSpaceDN w:val="0"/>
        <w:adjustRightInd w:val="0"/>
        <w:spacing w:before="480"/>
        <w:jc w:val="center"/>
        <w:rPr>
          <w:lang w:val="en-US"/>
        </w:rPr>
      </w:pPr>
      <w:r>
        <w:t xml:space="preserve">КАФЕДРА № 41</w:t>
      </w:r>
      <w:r w:rsidR="000F4AC9">
        <w:rPr>
          <w:lang w:val="en-US"/>
        </w:rPr>
        <w:t/>
      </w:r>
    </w:p>
    <w:p w14:paraId="5CF03EF2" w14:textId="77777777" w:rsidR="0076084A" w:rsidRDefault="0076084A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7ABB6A4" w14:textId="77777777" w:rsidR="0076084A" w:rsidRDefault="0076084A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5"/>
        <w:gridCol w:w="239"/>
        <w:gridCol w:w="2861"/>
        <w:gridCol w:w="278"/>
        <w:gridCol w:w="3066"/>
      </w:tblGrid>
      <w:tr w:rsidR="0076084A" w14:paraId="6854FD04" w14:textId="77777777">
        <w:tc>
          <w:tcPr>
            <w:tcW w:w="3165" w:type="dxa"/>
            <w:tcBorders>
              <w:top w:val="nil"/>
              <w:left w:val="nil"/>
              <w:right w:val="nil"/>
            </w:tcBorders>
            <w:vAlign w:val="center"/>
          </w:tcPr>
          <w:p w14:paraId="618A5431" w14:textId="5B05D36F" w:rsidR="0076084A" w:rsidRPr="000F4AC9" w:rsidRDefault="000F4AC9" w:rsidP="00BC03DA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старший преподаватель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CD8DC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7A82977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BA740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33" w:type="dxa"/>
            <w:tcBorders>
              <w:top w:val="nil"/>
              <w:left w:val="nil"/>
              <w:right w:val="nil"/>
            </w:tcBorders>
            <w:vAlign w:val="center"/>
          </w:tcPr>
          <w:p w14:paraId="165C271B" w14:textId="2E4D1066" w:rsidR="0076084A" w:rsidRPr="000F4AC9" w:rsidRDefault="000F4AC9" w:rsidP="00BC03D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В. В. Боженко</w:t>
            </w:r>
            <w:r w:rsidR="00FE131C">
              <w:rPr>
                <w:lang w:val="en-US"/>
              </w:rPr>
              <w:t/>
            </w:r>
            <w:r>
              <w:rPr>
                <w:lang w:val="en-US"/>
              </w:rPr>
              <w:t/>
            </w:r>
          </w:p>
        </w:tc>
      </w:tr>
      <w:tr w:rsidR="0076084A" w14:paraId="70ACBFD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B63DD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2CDDB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029B7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D458C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1CD45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E493510" w14:textId="77777777" w:rsidR="0076084A" w:rsidRDefault="0076084A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6084A" w14:paraId="1EDC786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856E12" w14:textId="4E06F16C" w:rsidR="0076084A" w:rsidRPr="00240C6D" w:rsidRDefault="0076084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 № 2</w:t>
            </w:r>
            <w:r w:rsidR="00240C6D">
              <w:rPr>
                <w:lang w:val="en-US"/>
              </w:rPr>
              <w:t xml:space="preserve"/>
            </w:r>
            <w:r w:rsidR="00240C6D">
              <w:t xml:space="preserve"/>
            </w:r>
            <w:r w:rsidR="00240C6D">
              <w:rPr>
                <w:lang w:val="en-US"/>
              </w:rPr>
              <w:t/>
            </w:r>
          </w:p>
        </w:tc>
      </w:tr>
      <w:tr w:rsidR="0076084A" w14:paraId="3E02849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04461D" w14:textId="7858C437" w:rsidR="0076084A" w:rsidRPr="000F4AC9" w:rsidRDefault="000F4AC9">
            <w:pPr>
              <w:pStyle w:val="Heading1"/>
              <w:spacing w:before="720" w:after="720"/>
              <w:ind w:firstLine="0"/>
              <w:jc w:val="center"/>
              <w:rPr>
                <w:b w:val="0"/>
                <w:sz w:val="32"/>
                <w:szCs w:val="32"/>
                <w:lang w:val="en-US"/>
              </w:rPr>
            </w:pPr>
            <w:r>
              <w:rPr>
                <w:b w:val="0"/>
                <w:sz w:val="32"/>
                <w:szCs w:val="32"/>
                <w:lang w:val="en-US"/>
              </w:rPr>
              <w:t>Исследовательский анализ данных</w:t>
            </w:r>
            <w:r w:rsidR="00AE5E3B">
              <w:rPr>
                <w:b w:val="0"/>
                <w:sz w:val="32"/>
                <w:szCs w:val="32"/>
                <w:lang w:val="en-US"/>
              </w:rPr>
              <w:t xml:space="preserve"/>
            </w:r>
            <w:r w:rsidR="00240C6D">
              <w:rPr>
                <w:b w:val="0"/>
                <w:sz w:val="32"/>
                <w:szCs w:val="32"/>
                <w:lang w:val="en-US"/>
              </w:rPr>
              <w:t/>
            </w:r>
            <w:r>
              <w:rPr>
                <w:b w:val="0"/>
                <w:sz w:val="32"/>
                <w:szCs w:val="32"/>
                <w:lang w:val="en-US"/>
              </w:rPr>
              <w:t/>
            </w:r>
          </w:p>
        </w:tc>
      </w:tr>
      <w:tr w:rsidR="0076084A" w14:paraId="2DDFE2D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1A4E488" w14:textId="414268AA" w:rsidR="0076084A" w:rsidRPr="000F4AC9" w:rsidRDefault="0076084A" w:rsidP="000C4F90">
            <w:pPr>
              <w:pStyle w:val="Heading3"/>
              <w:spacing w:before="12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Анализ данных</w:t>
            </w:r>
            <w:r w:rsidR="000F4AC9">
              <w:rPr>
                <w:sz w:val="24"/>
                <w:szCs w:val="24"/>
              </w:rPr>
              <w:t/>
            </w:r>
          </w:p>
        </w:tc>
      </w:tr>
      <w:tr w:rsidR="0076084A" w14:paraId="6FE7CAA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10D2241" w14:textId="77777777" w:rsidR="0076084A" w:rsidRDefault="0076084A">
            <w:pPr>
              <w:pStyle w:val="Heading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76084A" w14:paraId="6E68C20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5733BE" w14:textId="77777777" w:rsidR="0076084A" w:rsidRPr="008A4379" w:rsidRDefault="0076084A" w:rsidP="008A4379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</w:p>
        </w:tc>
      </w:tr>
    </w:tbl>
    <w:p w14:paraId="43E8AE15" w14:textId="77777777" w:rsidR="0076084A" w:rsidRDefault="0076084A">
      <w:pPr>
        <w:widowControl w:val="0"/>
        <w:autoSpaceDE w:val="0"/>
        <w:autoSpaceDN w:val="0"/>
        <w:adjustRightInd w:val="0"/>
        <w:spacing w:before="168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5"/>
        <w:gridCol w:w="1732"/>
        <w:gridCol w:w="236"/>
        <w:gridCol w:w="2809"/>
        <w:gridCol w:w="246"/>
        <w:gridCol w:w="2451"/>
      </w:tblGrid>
      <w:tr w:rsidR="0076084A" w14:paraId="133DCCB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B3B29" w14:textId="77777777" w:rsidR="0076084A" w:rsidRDefault="002E533C" w:rsidP="002E533C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 xml:space="preserve">СТУДЕНТ </w:t>
            </w:r>
            <w:r w:rsidR="009A2ED8">
              <w:t>гр</w:t>
            </w:r>
            <w:r w:rsidR="0076084A" w:rsidRPr="00EA389A">
              <w:t>.</w:t>
            </w:r>
            <w:r w:rsidR="00EA389A" w:rsidRPr="00EA389A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C98470" w14:textId="15CAF2BD" w:rsidR="0076084A" w:rsidRPr="000F4AC9" w:rsidRDefault="000F4AC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4417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A8FC9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9AD65A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E2DB7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CC71FD" w14:textId="308AF485" w:rsidR="0076084A" w:rsidRPr="000F4AC9" w:rsidRDefault="000F4AC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С. В. Жойд</w:t>
            </w:r>
          </w:p>
        </w:tc>
      </w:tr>
      <w:tr w:rsidR="0076084A" w14:paraId="4C1F1362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2EE68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E0DD87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F6466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DB8D86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119CE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7E2A8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688AA4" w14:textId="2E19900A" w:rsidR="0076084A" w:rsidRPr="000F4AC9" w:rsidRDefault="0076084A" w:rsidP="008A4379">
      <w:pPr>
        <w:widowControl w:val="0"/>
        <w:autoSpaceDE w:val="0"/>
        <w:autoSpaceDN w:val="0"/>
        <w:adjustRightInd w:val="0"/>
        <w:spacing w:before="2160"/>
        <w:jc w:val="center"/>
        <w:rPr>
          <w:lang w:val="en-US"/>
        </w:rPr>
      </w:pPr>
      <w:r>
        <w:t>Санкт-Петербург 2026</w:t>
      </w:r>
      <w:r w:rsidR="00A81696">
        <w:rPr>
          <w:lang w:val="en-US"/>
        </w:rPr>
        <w:t xml:space="preserve"/>
      </w:r>
      <w:r w:rsidR="000F4AC9">
        <w:rPr>
          <w:lang w:val="en-US"/>
        </w:rPr>
        <w:t/>
      </w:r>
    </w:p>
    <w:p>
      <w:pPr>
        <w:pStyle w:val="ReportBody"/>
        <w:keepNext w:val="0"/>
        <w:pageBreakBefore/>
        <w:spacing w:after="200"/>
        <w:ind w:firstLine="0"/>
        <w:jc w:val="center"/>
      </w:pPr>
      <w:r>
        <w:rPr>
          <w:b/>
        </w:rPr>
        <w:t>ВВЕДЕНИЕ</w:t>
      </w:r>
    </w:p>
    <w:p>
      <w:pPr>
        <w:spacing w:line="240" w:lineRule="auto" w:after="0"/>
      </w:pPr>
    </w:p>
    <w:p>
      <w:pPr>
        <w:pStyle w:val="ReportBody"/>
        <w:widowControl/>
      </w:pPr>
      <w:r>
        <w:t>Исследовательский анализ данных выполняется до построения статистических и машинных моделей. Он позволяет оценить качество набора, изучить распределения признаков, обнаружить аномалии и сформулировать первые гипотезы о взаимосвязях.</w:t>
      </w:r>
    </w:p>
    <w:p>
      <w:pPr>
        <w:pStyle w:val="ReportBody"/>
        <w:widowControl/>
      </w:pPr>
      <w:r>
        <w:t>Цель работы — изучить связи между признаками набора кредитных заявок и выполнить визуализацию данных.</w:t>
      </w:r>
    </w:p>
    <w:p>
      <w:pPr>
        <w:pStyle w:val="ReportBody"/>
        <w:widowControl/>
      </w:pPr>
      <w:r>
        <w:t>Работа выполнена в Jupyter Notebook с использованием Python, pandas, matplotlib и seaborn. Выполненный ноутбук доступен по ссылке: https://colab.research.google.com/github/StasWW/suai-data-analysis-lab2/blob/main/%D0%9B%D0%A02_%D0%96%D0%BE%D0%B9%D0%B4_8.ipynb</w:t>
      </w:r>
    </w:p>
    <w:p>
      <w:pPr>
        <w:pStyle w:val="Heading1"/>
        <w:keepNext/>
        <w:pageBreakBefore/>
        <w:spacing w:after="200"/>
      </w:pPr>
      <w:r>
        <w:t>1 Подготовка данных</w:t>
      </w:r>
    </w:p>
    <w:p>
      <w:pPr>
        <w:pStyle w:val="ReportBody"/>
        <w:widowControl/>
      </w:pPr>
      <w:r>
        <w:t>Варианту 8 соответствует набор credit_risk.csv, содержащий сведения о кредитных заявках. Описание признаков приведено в таблице 1.</w:t>
      </w:r>
    </w:p>
    <w:p>
      <w:pPr>
        <w:pStyle w:val="Caption"/>
        <w:keepNext/>
        <w:spacing w:line="240" w:lineRule="auto" w:before="120" w:after="60"/>
        <w:ind w:firstLine="0"/>
      </w:pPr>
      <w:r>
        <w:t>Таблица 1 — Описание признаков набора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030"/>
      </w:tblGrid>
      <w:tr>
        <w:trPr>
          <w:cantSplit/>
          <w:tblHeader/>
        </w:trPr>
        <w:tc>
          <w:tcPr>
            <w:tcW w:type="dxa" w:w="4677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Признак</w:t>
            </w:r>
          </w:p>
        </w:tc>
        <w:tc>
          <w:tcPr>
            <w:tcW w:type="dxa" w:w="4677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age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Возраст заявителя, лет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income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Доход заявителя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home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Статус домовладения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emp_length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Стаж работы, лет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intent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Цель кредита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amount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Сумма кредита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rate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Процентная ставка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Статус одобрения кредита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percent_income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Сумма кредита как доля дохода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default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Признак прежнего дефолта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cred_length</w:t>
            </w:r>
          </w:p>
        </w:tc>
        <w:tc>
          <w:tcPr>
            <w:tcW w:type="dxa" w:w="70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Продолжительность кредитной истории, лет</w:t>
            </w:r>
          </w:p>
        </w:tc>
      </w:tr>
    </w:tbl>
    <w:p>
      <w:pPr>
        <w:pStyle w:val="ReportBody"/>
        <w:widowControl/>
      </w:pPr>
      <w:r>
        <w:t>Методы info и describe показали 652 строки и 12 столбцов. В emp_length обнаружено 9 пропусков, в rate — 66. Также найдены две повторные копии строк, варианты написания RENET и No и предметно сомнительные значения возраста и стажа.</w:t>
      </w:r>
    </w:p>
    <w:p>
      <w:pPr>
        <w:pStyle w:val="ReportBody"/>
        <w:widowControl/>
      </w:pPr>
      <w:r>
        <w:t>Названия столбцов приведены к нижнему регистру, категории нормализованы, полные повторы и строки с пропусками удалены. Исключены записи с возрастом выше 100 лет и стажем больше возраста. После очистки осталось 571 наблюдение. Доход 500 000 сохранён, поскольку необычное значение без внешнего подтверждения нельзя считать ошибкой. Итоговые характеристики представлены в таблице 2.</w:t>
      </w:r>
    </w:p>
    <w:p>
      <w:pPr>
        <w:pStyle w:val="Caption"/>
        <w:keepNext/>
        <w:pageBreakBefore/>
        <w:spacing w:line="240" w:lineRule="auto" w:before="120" w:after="60"/>
        <w:ind w:firstLine="0"/>
      </w:pPr>
      <w:r>
        <w:t>Таблица 2 — Описательные характеристики очищенного набора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71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Признак</w:t>
            </w:r>
          </w:p>
        </w:tc>
        <w:tc>
          <w:tcPr>
            <w:tcW w:type="dxa" w:w="1871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Среднее</w:t>
            </w:r>
          </w:p>
        </w:tc>
        <w:tc>
          <w:tcPr>
            <w:tcW w:type="dxa" w:w="1871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Медиана</w:t>
            </w:r>
          </w:p>
        </w:tc>
        <w:tc>
          <w:tcPr>
            <w:tcW w:type="dxa" w:w="1871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Минимум</w:t>
            </w:r>
          </w:p>
        </w:tc>
        <w:tc>
          <w:tcPr>
            <w:tcW w:type="dxa" w:w="1871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Максимум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age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23,79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24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21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income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91 102,01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70 000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9 600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500 000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emp_length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4,26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amount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19 168,26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22 000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1 000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35 000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rate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12,35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12,18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5,79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21,21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percent_income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0,28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0,28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0,01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0,83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cred_length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3,02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</w:tbl>
    <w:p>
      <w:pPr>
        <w:pStyle w:val="ReportBody"/>
        <w:widowControl/>
      </w:pPr>
      <w:r>
        <w:t>Очищенная выборка в основном состоит из арендаторов: 374 записи. Ипотека представлена 112 наблюдениями, собственное жильё — 83, категория OTHER — двумя. Малый размер последней группы ограничивает надёжность её сравнений.</w:t>
      </w:r>
    </w:p>
    <w:p>
      <w:pPr>
        <w:pStyle w:val="ReportBody"/>
        <w:widowControl/>
      </w:pPr>
      <w:r>
        <w:t>Удаление строк с пропусками обеспечивает полный набор значений для всех построений, но может изменить структуру выборки, если пропуски распределены неслучайно. Поэтому выводы относятся к очищенной подвыборке, а не ко всей совокупности потенциальных заёмщиков.</w:t>
      </w:r>
    </w:p>
    <w:p>
      <w:pPr>
        <w:pStyle w:val="Heading1"/>
        <w:keepNext/>
        <w:pageBreakBefore/>
        <w:spacing w:after="200"/>
      </w:pPr>
      <w:r>
        <w:t>2 Диаграммы рассеяния</w:t>
      </w:r>
    </w:p>
    <w:p>
      <w:pPr>
        <w:pStyle w:val="ReportBody"/>
        <w:widowControl/>
      </w:pPr>
      <w:r>
        <w:t>Матрица диаграмм рассеяния на рисунке 1 построена для семи содержательных числовых признаков. Идентификатор id исключён, поскольку он не характеризует заявителя.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1 — Матрица диаграмм рассеяния числовых признаков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618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atter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18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widowControl/>
      </w:pPr>
      <w:r>
        <w:t>Матрица не показывает единственной сильной линейной зависимости для всех пар. Более заметны рост дохода с возрастом, рост суммы кредита с доходом и обратная зависимость доли кредита от дохода.</w:t>
      </w:r>
    </w:p>
    <w:p>
      <w:pPr>
        <w:pStyle w:val="ReportBody"/>
        <w:widowControl/>
      </w:pPr>
      <w:r>
        <w:t>На рисунке 2 зависимость дохода и суммы кредита показана отдельно по целям кредита. Цвета существенно перекрываются, поэтому эта пара признаков не разделяет заявки по целям.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2 — Доход и сумма кредита по целям кредита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494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atter_by_int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9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widowControl/>
      </w:pPr>
      <w:r>
        <w:t>На категориальной диаграмме видны одни и те же диапазоны сумм для разных целей кредита. Отдельные большие доходы не образуют самостоятельной категории, а наблюдения с умеренными доходами распределены между всеми целями.</w:t>
      </w:r>
    </w:p>
    <w:p>
      <w:pPr>
        <w:pStyle w:val="Heading1"/>
        <w:keepNext/>
        <w:pageBreakBefore/>
        <w:spacing w:after="200"/>
      </w:pPr>
      <w:r>
        <w:t>3 Распределения числовых признаков</w:t>
      </w:r>
    </w:p>
    <w:p>
      <w:pPr>
        <w:pStyle w:val="ReportBody"/>
        <w:widowControl/>
      </w:pPr>
      <w:r>
        <w:t>Для каждого числового признака подобрано число интервалов с учётом дискретности и объёма выборки. Гистограммы представлены на рисунке 3.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3 — Распределения числовых признаков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281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gr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28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widowControl/>
      </w:pPr>
      <w:r>
        <w:t>Возраст сосредоточен в диапазоне 21–26 лет. Доход имеет правостороннюю асимметрию, а сумма кредита образует несколько выраженных групп, в том числе крупную группу около 20 000–25 000. Процентная ставка чаще находится около 10–15 %, доля кредита в доходе — около 0,15–0,40. Стаж чаще принимает небольшие значения, а кредитная история ограничена значениями от 2 до 4 лет.</w:t>
      </w:r>
    </w:p>
    <w:p>
      <w:pPr>
        <w:pStyle w:val="Heading1"/>
        <w:keepNext/>
        <w:pageBreakBefore/>
        <w:spacing w:after="200"/>
      </w:pPr>
      <w:r>
        <w:t>4 Корреляция и ковариация</w:t>
      </w:r>
    </w:p>
    <w:p>
      <w:pPr>
        <w:pStyle w:val="ReportBody"/>
        <w:widowControl/>
      </w:pPr>
      <w:r>
        <w:t>Корреляция Пирсона измеряет силу и направление линейной связи в шкале от −1 до 1. Ковариация показывает направление совместного изменения, но зависит от единиц измерения. Тепловая карта корреляций представлена на рисунке 4.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4 — Тепловая карта коэффициентов корреляции Пирсона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48000" cy="3786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786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widowControl/>
      </w:pPr>
      <w:r>
        <w:t>Наиболее выражена отрицательная связь income и percent_income: около −0,64. Умеренно слабые положительные связи наблюдаются между age и income, amount и percent_income, income и amount. Основные значения приведены в таблице 3.</w:t>
      </w:r>
    </w:p>
    <w:p>
      <w:pPr>
        <w:pStyle w:val="Caption"/>
        <w:keepNext/>
        <w:spacing w:line="240" w:lineRule="auto" w:before="120" w:after="60"/>
        <w:ind w:firstLine="0"/>
      </w:pPr>
      <w:r>
        <w:t>Таблица 3 — Основные коэффициенты корреляции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1701"/>
        <w:gridCol w:w="3572"/>
      </w:tblGrid>
      <w:tr>
        <w:trPr>
          <w:cantSplit/>
          <w:tblHeader/>
        </w:trPr>
        <w:tc>
          <w:tcPr>
            <w:tcW w:type="dxa" w:w="3118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Пара признаков</w:t>
            </w:r>
          </w:p>
        </w:tc>
        <w:tc>
          <w:tcPr>
            <w:tcW w:type="dxa" w:w="3118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Коэффициент</w:t>
            </w:r>
          </w:p>
        </w:tc>
        <w:tc>
          <w:tcPr>
            <w:tcW w:type="dxa" w:w="3118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income — percent_income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−0,64</w:t>
            </w:r>
          </w:p>
        </w:tc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Умеренная отрицательная связь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age — income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0,34</w:t>
            </w:r>
          </w:p>
        </w:tc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Слабая положительная связь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amount — percent_income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0,32</w:t>
            </w:r>
          </w:p>
        </w:tc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Слабая положительная связь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income — amount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0,28</w:t>
            </w:r>
          </w:p>
        </w:tc>
        <w:tc>
          <w:tcPr>
            <w:tcW w:type="dxa" w:w="35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Слабая положительная связь</w:t>
            </w:r>
          </w:p>
        </w:tc>
      </w:tr>
    </w:tbl>
    <w:p>
      <w:pPr>
        <w:pStyle w:val="ReportBody"/>
        <w:widowControl/>
      </w:pPr>
      <w:r>
        <w:t>Знаки ковариаций согласуются с направлениями связей. Абсолютные величины ковариации между признаками в разных единицах напрямую не сравниваются. Корреляция не доказывает причинно-следственную связь.</w:t>
      </w:r>
    </w:p>
    <w:p>
      <w:pPr>
        <w:pStyle w:val="Heading1"/>
        <w:keepNext/>
        <w:pageBreakBefore/>
        <w:spacing w:after="200"/>
      </w:pPr>
      <w:r>
        <w:t>5 Выполнение заданий варианта 8</w:t>
      </w:r>
    </w:p>
    <w:p>
      <w:pPr>
        <w:pStyle w:val="ReportBody"/>
        <w:widowControl/>
      </w:pPr>
      <w:r>
        <w:t>По группировке intent и home построена диаграмма seaborn, представленная на рисунке 5. Во всех целях кредита преобладают арендаторы. Наибольшее число заявок арендаторов относится к образованию — 88. Категория OTHER состоит только из двух наблюдений.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5 — Количество заявок по цели кредита и статусу домовладения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665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ariant_intent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6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widowControl/>
      </w:pPr>
      <w:r>
        <w:t>После фильтрации age &lt; 100 через pivot_table рассчитан средний доход по возрасту. Результат показан коричневыми звёздами размера 16 на рисунке 6 и приведён в таблице 4.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6 — Средний доход по возрасту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263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riant_income_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line="240" w:lineRule="auto" w:before="120" w:after="60"/>
        <w:ind w:firstLine="0"/>
      </w:pPr>
      <w:r>
        <w:t>Таблица 4 — Средний доход по возрасту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3969"/>
      </w:tblGrid>
      <w:tr>
        <w:trPr>
          <w:cantSplit/>
          <w:tblHeader/>
        </w:trPr>
        <w:tc>
          <w:tcPr>
            <w:tcW w:type="dxa" w:w="4677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Возраст</w:t>
            </w:r>
          </w:p>
        </w:tc>
        <w:tc>
          <w:tcPr>
            <w:tcW w:type="dxa" w:w="4677"/>
            <w:shd w:fill="D9E2F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Средний доход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21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41 783,50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22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61 425,70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86 162,54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24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89 681,13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110 021,18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26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125 642,78</w:t>
            </w:r>
          </w:p>
        </w:tc>
      </w:tr>
    </w:tbl>
    <w:p>
      <w:pPr>
        <w:pStyle w:val="ReportBody"/>
        <w:widowControl/>
      </w:pPr>
      <w:r>
        <w:t>Средние значения последовательно возрастают, однако сравниваются разные заявители, а не изменение дохода одного человека во времени.</w:t>
      </w:r>
    </w:p>
    <w:p>
      <w:pPr>
        <w:pStyle w:val="ReportBody"/>
        <w:widowControl/>
      </w:pPr>
      <w:r>
        <w:t>Круговая диаграмма на рисунке 7 показывает доли целей кредита. Наиболее распространено образование: 126 заявок, или 22,1 %. Наименьшая категория — улучшение жилья: 59 заявок, или 10,3 %.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7 — Распределение заявок по целям кредита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5332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ariant_intent_p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33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200"/>
      </w:pPr>
      <w:r>
        <w:t>6 Дополнительные визуализации</w:t>
      </w:r>
    </w:p>
    <w:p>
      <w:pPr>
        <w:pStyle w:val="ReportBody"/>
        <w:widowControl/>
      </w:pPr>
      <w:r>
        <w:t>Hexagonal binning plot на рисунке 8 показывает плотность сочетаний дохода и суммы кредита. Наибольшая плотность наблюдений соответствует умеренным значениям. Наклон плотной области согласуется со слабой положительной корреляцией, но разброс остаётся значительным.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8 — Плотность сочетаний дохода и суммы кредита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430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exbin_income_am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4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widowControl/>
      </w:pPr>
      <w:r>
        <w:t>Диаграмма размаха суммы кредита представлена на рисунке 9. Медиана равна 22 000, первый квартиль — 12 000, третий — 25 000. Усы охватывают диапазон от 1 000 до 35 000; отдельных выбросов по правилу 1,5 межквартильного размаха на общей диаграмме нет.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9 — Распределение суммы кредита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888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ox_am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widowControl/>
      </w:pPr>
      <w:r>
        <w:t>Для числового признака income методом qcut созданы три близкие по размеру категории: низкая, средняя и высокая. Диаграмма размаха на рисунке 10 показывает границы и разброс каждой группы. Высокая категория содержит правый хвост до 500 000.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10 — Доход по категориям, сформированным квантилями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759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ox_income_lev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5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widowControl/>
      </w:pPr>
      <w:r>
        <w:t>Для выполнения требования о дополнительных boxplot использованы разные библиотеки. На рисунке 11 средствами pandas plotting показана сумма кредита по целям, а на рисунке 12 средствами matplotlib — доход по статусу домовладения.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11 — Сумма кредита по цели кредита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503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ox_amount_int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0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widowControl/>
      </w:pPr>
      <w:r>
        <w:t>Медианы сумм по целям близки, а интервалы сильно перекрываются. Следовательно, цель кредита сама по себе слабо разделяет сумму заявки.</w:t>
      </w:r>
    </w:p>
    <w:p>
      <w:pPr>
        <w:pStyle w:val="Caption"/>
        <w:keepNext/>
        <w:spacing w:line="240" w:lineRule="auto" w:before="120" w:after="60"/>
        <w:ind w:firstLine="0"/>
      </w:pPr>
      <w:r>
        <w:t>Рисунок 12 — Доход по статусу домовладения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180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ox_income_ho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8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widowControl/>
      </w:pPr>
      <w:r>
        <w:t>Распределения дохода по статусам домовладения перекрываются и имеют правые хвосты. Группа OTHER содержит только две записи, поэтому её характеристики нельзя надёжно обобщать.</w:t>
      </w:r>
    </w:p>
    <w:p>
      <w:pPr>
        <w:pStyle w:val="ReportBody"/>
        <w:keepNext w:val="0"/>
        <w:pageBreakBefore/>
        <w:spacing w:after="200"/>
        <w:ind w:firstLine="0"/>
        <w:jc w:val="center"/>
      </w:pPr>
      <w:r>
        <w:rPr>
          <w:b/>
        </w:rPr>
        <w:t>ЗАКЛЮЧЕНИЕ</w:t>
      </w:r>
    </w:p>
    <w:p>
      <w:pPr>
        <w:spacing w:line="240" w:lineRule="auto" w:after="0"/>
      </w:pPr>
    </w:p>
    <w:p>
      <w:pPr>
        <w:pStyle w:val="ReportBody"/>
        <w:widowControl/>
      </w:pPr>
      <w:r>
        <w:t>В ходе работы выполнен исследовательский анализ набора кредитных заявок credit_risk.csv. Исходные 652 строки были проверены на пропуски, повторы, ошибки написания категорий и предметные аномалии. После удаления неполных, повторных и противоречивых записей сформирована выборка из 571 наблюдения.</w:t>
      </w:r>
    </w:p>
    <w:p>
      <w:pPr>
        <w:pStyle w:val="ReportBody"/>
        <w:widowControl/>
      </w:pPr>
      <w:r>
        <w:t>Распределение дохода асимметрично вправо, сумма кредита образует несколько выраженных групп, а возраст заявителей сосредоточен между 21 и 26 годами. Наиболее заметна отрицательная корреляция дохода с долей кредита в доходе, около −0,64. Связи возраста с доходом, суммы кредита с доходом и суммы кредита с её долей в доходе положительны, но не являются сильными. Графики не дают основания утверждать причинную зависимость.</w:t>
      </w:r>
    </w:p>
    <w:p>
      <w:pPr>
        <w:pStyle w:val="ReportBody"/>
        <w:widowControl/>
      </w:pPr>
      <w:r>
        <w:t>В варианте 8 установлено преобладание арендаторов во всех целях кредита, рост среднего дохода по возрастным группам и наибольшая доля заявок на образование. Hexbin и диаграммы размаха подтвердили концентрацию наблюдений в области умеренных значений и наличие правых хвостов. Результаты описывают очищенную подвыборку и должны интерпретироваться с учётом удаления строк с пропусками и малых категорий.</w:t>
      </w:r>
    </w:p>
    <w:sectPr w:rsidR="0076084A" w:rsidRPr="000F4AC9">
      <w:footerReference w:type="default" r:id="rId6"/>
      <w:type w:val="continuous"/>
      <w:pgSz w:w="11906" w:h="16838"/>
      <w:pgMar w:top="1134" w:right="850" w:bottom="1134" w:left="1701" w:header="720" w:footer="567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84A"/>
    <w:rsid w:val="000C4F90"/>
    <w:rsid w:val="000F4AC9"/>
    <w:rsid w:val="001C12F2"/>
    <w:rsid w:val="00240C6D"/>
    <w:rsid w:val="002D7412"/>
    <w:rsid w:val="002E533C"/>
    <w:rsid w:val="00316532"/>
    <w:rsid w:val="003A2ECD"/>
    <w:rsid w:val="004669D0"/>
    <w:rsid w:val="005B542E"/>
    <w:rsid w:val="00723ED0"/>
    <w:rsid w:val="007479DA"/>
    <w:rsid w:val="0076084A"/>
    <w:rsid w:val="008A4379"/>
    <w:rsid w:val="008B7D91"/>
    <w:rsid w:val="009506E0"/>
    <w:rsid w:val="009A2ED8"/>
    <w:rsid w:val="00A1739E"/>
    <w:rsid w:val="00A81696"/>
    <w:rsid w:val="00AE5E3B"/>
    <w:rsid w:val="00BC03DA"/>
    <w:rsid w:val="00C0215C"/>
    <w:rsid w:val="00C33E03"/>
    <w:rsid w:val="00D05ACB"/>
    <w:rsid w:val="00D17620"/>
    <w:rsid w:val="00DE7920"/>
    <w:rsid w:val="00EA26C5"/>
    <w:rsid w:val="00EA389A"/>
    <w:rsid w:val="00F420A5"/>
    <w:rsid w:val="00F97884"/>
    <w:rsid w:val="00FE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0050F"/>
  <w15:docId w15:val="{5C43A3B8-1F14-4DAB-87E7-BFBA0E4D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widowControl w:val="0"/>
      <w:autoSpaceDE w:val="0"/>
      <w:autoSpaceDN w:val="0"/>
      <w:adjustRightInd w:val="0"/>
      <w:spacing w:line="36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widowControl w:val="0"/>
      <w:autoSpaceDE w:val="0"/>
      <w:autoSpaceDN w:val="0"/>
      <w:adjustRightInd w:val="0"/>
      <w:spacing w:line="36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pPr>
      <w:widowControl w:val="0"/>
      <w:autoSpaceDE w:val="0"/>
      <w:autoSpaceDN w:val="0"/>
      <w:adjustRightInd w:val="0"/>
      <w:spacing w:line="360" w:lineRule="auto" w:before="0" w:after="0"/>
      <w:ind w:firstLine="709"/>
      <w:jc w:val="both"/>
    </w:pPr>
    <w:rPr>
      <w:rFonts w:ascii="Times New Roman" w:hAnsi="Times New Roman"/>
      <w:b/>
      <w:bCs/>
      <w:color w:val="000000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</w:rPr>
  </w:style>
  <w:style w:type="paragraph" w:customStyle="1" w:styleId="ReportBody">
    <w:name w:val="ReportBody"/>
    <w:pPr>
      <w:spacing w:line="360" w:lineRule="auto" w:before="0" w:after="0"/>
      <w:ind w:firstLine="709"/>
      <w:jc w:val="both"/>
    </w:pPr>
    <w:rPr>
      <w:rFonts w:ascii="Times New Roman" w:hAnsi="Times New Roman"/>
      <w:b w:val="0"/>
      <w:color w:val="000000"/>
      <w:sz w:val="24"/>
    </w:rPr>
  </w:style>
  <w:style w:type="paragraph" w:customStyle="1" w:styleId="Caption">
    <w:name w:val="caption"/>
    <w:pPr>
      <w:spacing w:line="360" w:lineRule="auto" w:before="0" w:after="0"/>
      <w:ind w:firstLine="709"/>
      <w:jc w:val="both"/>
    </w:pPr>
    <w:rPr>
      <w:rFonts w:ascii="Times New Roman" w:hAnsi="Times New Roman"/>
      <w:b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Исследовательский анализ данных — лабораторная работа 2 — вариант 8</dc:title>
  <dc:creator>Жойд Станислав Вадимович</dc:creator>
  <cp:lastModifiedBy>Stanislav Zhoid</cp:lastModifiedBy>
  <cp:revision>9</cp:revision>
  <cp:lastPrinted>2010-01-18T13:23:00Z</cp:lastPrinted>
  <dcterms:created xsi:type="dcterms:W3CDTF">2016-04-25T11:10:00Z</dcterms:created>
  <dcterms:modified xsi:type="dcterms:W3CDTF">2026-08-16T12:11:00Z</dcterms:modified>
  <dc:subject>Анализ данных</dc:subject>
</cp:coreProperties>
</file>