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Оформление пояснительной записки</w:t>
      </w:r>
      <w:bookmarkStart w:id="0" w:name="_GoBack"/>
      <w:bookmarkEnd w:id="0"/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штампе: Пояснительная записка к выпускной квалификационной работе по теме: «Название темы». Установить посередине.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Шифр </w:t>
      </w:r>
      <w:r>
        <w:rPr>
          <w:rFonts w:cs="Times New Roman" w:ascii="Times New Roman" w:hAnsi="Times New Roman"/>
          <w:sz w:val="28"/>
          <w:szCs w:val="28"/>
          <w:u w:val="single"/>
        </w:rPr>
        <w:t>П1113122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</w:rPr>
        <w:t>ДР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</w:rPr>
        <w:t>06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</w:rPr>
        <w:t>00.ПЗ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П1113122 </w:t>
      </w:r>
      <w:r>
        <w:rPr>
          <w:rFonts w:cs="Times New Roman" w:ascii="Times New Roman" w:hAnsi="Times New Roman"/>
          <w:sz w:val="28"/>
          <w:szCs w:val="28"/>
        </w:rPr>
        <w:t xml:space="preserve">  -- номер зачетной книжки;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ДР </w:t>
      </w:r>
      <w:r>
        <w:rPr>
          <w:rFonts w:cs="Times New Roman" w:ascii="Times New Roman" w:hAnsi="Times New Roman"/>
          <w:sz w:val="28"/>
          <w:szCs w:val="28"/>
        </w:rPr>
        <w:t>– дипломная работа;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06</w:t>
      </w:r>
      <w:r>
        <w:rPr>
          <w:rFonts w:cs="Times New Roman" w:ascii="Times New Roman" w:hAnsi="Times New Roman"/>
          <w:sz w:val="28"/>
          <w:szCs w:val="28"/>
        </w:rPr>
        <w:t xml:space="preserve">  - порядковый номер темы ВКР в приказе;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00.ПЗ</w:t>
      </w:r>
      <w:r>
        <w:rPr>
          <w:rFonts w:cs="Times New Roman" w:ascii="Times New Roman" w:hAnsi="Times New Roman"/>
          <w:sz w:val="28"/>
          <w:szCs w:val="28"/>
        </w:rPr>
        <w:t xml:space="preserve"> – шифр пояснительной записки.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 – посередине прописными буквами. Отступ от содержания два полуторных интервала. Шрифт в штампе: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ISOCPEUR.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рамки: левое – 2 см, правое, верхнее и нижнее – 0,5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текста: левое – 3 см, правое– 1 см, верхнее – 2 см и нижнее – 3 см. Толщина рамки 1 пт.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Оформление заголовков</w:t>
      </w:r>
      <w:r>
        <w:rPr>
          <w:rFonts w:cs="Times New Roman" w:ascii="Times New Roman" w:hAnsi="Times New Roman"/>
          <w:sz w:val="28"/>
          <w:szCs w:val="28"/>
        </w:rPr>
        <w:t xml:space="preserve">: все заголовки и подзаголовки начинаются с абзаца (1,25 см). Заголовки разделов оформляются прописными буквами 16 размера полужирного начертания. Подзаголовки: 16 размера полужирного начертания. </w:t>
      </w:r>
      <w:r>
        <w:rPr>
          <w:rFonts w:cs="Times New Roman" w:ascii="Times New Roman" w:hAnsi="Times New Roman"/>
          <w:b/>
          <w:sz w:val="28"/>
          <w:szCs w:val="28"/>
        </w:rPr>
        <w:t>Отступ от текста до заголовка два полуторных интервала, от заголовка до текста два одинарных интервала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center" w:pos="9639" w:leader="dot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  <w:lang w:eastAsia="ru-RU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  <w:lang w:eastAsia="ru-RU"/>
        </w:rPr>
        <w:t>ОБЩАЯ ЧАСТЬ</w:t>
      </w:r>
    </w:p>
    <w:p>
      <w:pPr>
        <w:pStyle w:val="Normal"/>
        <w:widowControl w:val="false"/>
        <w:tabs>
          <w:tab w:val="clear" w:pos="708"/>
          <w:tab w:val="center" w:pos="9639" w:leader="dot"/>
        </w:tabs>
        <w:suppressAutoHyphens w:val="true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b/>
          <w:b/>
          <w:sz w:val="32"/>
          <w:szCs w:val="32"/>
          <w:lang w:eastAsia="ru-RU"/>
        </w:rPr>
      </w:pPr>
      <w:r>
        <w:rPr>
          <w:rFonts w:eastAsia="" w:cs="Times New Roman" w:eastAsiaTheme="minorEastAsia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widowControl w:val="false"/>
        <w:tabs>
          <w:tab w:val="clear" w:pos="708"/>
          <w:tab w:val="center" w:pos="9639" w:leader="dot"/>
        </w:tabs>
        <w:suppressAutoHyphens w:val="true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b/>
          <w:b/>
          <w:sz w:val="32"/>
          <w:szCs w:val="32"/>
          <w:lang w:eastAsia="ru-RU"/>
        </w:rPr>
      </w:pPr>
      <w:r>
        <w:rPr>
          <w:rFonts w:eastAsia="" w:cs="Times New Roman" w:eastAsiaTheme="minorEastAsia" w:ascii="Times New Roman" w:hAnsi="Times New Roman"/>
          <w:b/>
          <w:sz w:val="32"/>
          <w:szCs w:val="32"/>
          <w:lang w:eastAsia="ru-RU"/>
        </w:rPr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08"/>
          <w:tab w:val="center" w:pos="9639" w:leader="dot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b/>
          <w:b/>
          <w:sz w:val="32"/>
          <w:szCs w:val="32"/>
          <w:lang w:eastAsia="ru-RU"/>
        </w:rPr>
      </w:pPr>
      <w:r>
        <w:rPr>
          <w:rFonts w:eastAsia="" w:cs="Times New Roman" w:ascii="Times New Roman" w:hAnsi="Times New Roman" w:eastAsiaTheme="minorEastAsia"/>
          <w:b/>
          <w:sz w:val="32"/>
          <w:szCs w:val="32"/>
          <w:lang w:eastAsia="ru-RU"/>
        </w:rPr>
        <w:t>Техническое задание</w:t>
      </w:r>
    </w:p>
    <w:p>
      <w:pPr>
        <w:pStyle w:val="ListParagraph"/>
        <w:widowControl w:val="false"/>
        <w:tabs>
          <w:tab w:val="clear" w:pos="708"/>
          <w:tab w:val="center" w:pos="9639" w:leader="dot"/>
        </w:tabs>
        <w:suppressAutoHyphens w:val="true"/>
        <w:spacing w:lineRule="auto" w:line="240" w:before="0" w:after="0"/>
        <w:ind w:left="1429" w:hanging="0"/>
        <w:contextualSpacing/>
        <w:jc w:val="both"/>
        <w:rPr>
          <w:rFonts w:ascii="Times New Roman" w:hAnsi="Times New Roman" w:eastAsia="" w:cs="Times New Roman" w:eastAsiaTheme="minorEastAsia"/>
          <w:b/>
          <w:b/>
          <w:sz w:val="32"/>
          <w:szCs w:val="32"/>
          <w:lang w:eastAsia="ru-RU"/>
        </w:rPr>
      </w:pPr>
      <w:r>
        <w:rPr>
          <w:rFonts w:eastAsia="" w:cs="Times New Roman" w:eastAsiaTheme="minorEastAsia" w:ascii="Times New Roman" w:hAnsi="Times New Roman"/>
          <w:b/>
          <w:sz w:val="32"/>
          <w:szCs w:val="32"/>
          <w:lang w:eastAsia="ru-RU"/>
        </w:rPr>
      </w:r>
    </w:p>
    <w:p>
      <w:pPr>
        <w:pStyle w:val="ListParagraph"/>
        <w:widowControl w:val="false"/>
        <w:tabs>
          <w:tab w:val="clear" w:pos="708"/>
          <w:tab w:val="center" w:pos="9639" w:leader="dot"/>
        </w:tabs>
        <w:suppressAutoHyphens w:val="true"/>
        <w:spacing w:lineRule="auto" w:line="240" w:before="0" w:after="0"/>
        <w:ind w:left="1429" w:hanging="0"/>
        <w:contextualSpacing/>
        <w:jc w:val="both"/>
        <w:rPr>
          <w:rFonts w:ascii="Times New Roman" w:hAnsi="Times New Roman" w:eastAsia="" w:cs="Times New Roman" w:eastAsiaTheme="minorEastAsia"/>
          <w:b/>
          <w:b/>
          <w:sz w:val="32"/>
          <w:szCs w:val="32"/>
          <w:lang w:eastAsia="ru-RU"/>
        </w:rPr>
      </w:pPr>
      <w:r>
        <w:rPr>
          <w:rFonts w:eastAsia="" w:cs="Times New Roman" w:eastAsiaTheme="minorEastAsia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widowControl w:val="false"/>
        <w:tabs>
          <w:tab w:val="clear" w:pos="708"/>
          <w:tab w:val="center" w:pos="9639" w:leader="dot"/>
        </w:tabs>
        <w:suppressAutoHyphens w:val="true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inorEastAsia"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Текст пояснительной записки ….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Маркеры и нумерация:</w:t>
      </w:r>
      <w:r>
        <w:rPr>
          <w:rFonts w:cs="Times New Roman" w:ascii="Times New Roman" w:hAnsi="Times New Roman"/>
          <w:sz w:val="28"/>
          <w:szCs w:val="28"/>
        </w:rPr>
        <w:t xml:space="preserve"> для обозначения маркера в пояснительной записке используется только тире. Отступ маркера (номера) от текста 1,25 см от текста и 0,5 см от маркера. Если предыдущий пункт завершает знак «;», то следующий начинается со строчной буквы. Если знаком «.», то с прописной.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нумерованного списка: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Минимальные условия, необходимые для работы с программой: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</w:t>
        <w:tab/>
        <w:t>OC Windows XP SP 3.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</w:t>
        <w:tab/>
        <w:t>MySQL Server v 5.6.15.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</w:t>
        <w:tab/>
      </w:r>
      <w:r>
        <w:rPr>
          <w:rFonts w:cs="Times New Roman" w:ascii="Times New Roman" w:hAnsi="Times New Roman"/>
          <w:sz w:val="28"/>
          <w:szCs w:val="28"/>
        </w:rPr>
        <w:t>Процессор</w:t>
      </w:r>
      <w:r>
        <w:rPr>
          <w:rFonts w:cs="Times New Roman" w:ascii="Times New Roman" w:hAnsi="Times New Roman"/>
          <w:sz w:val="28"/>
          <w:szCs w:val="28"/>
          <w:lang w:val="en-US"/>
        </w:rPr>
        <w:t>: Intel(R) Celeron(R) M 1.3GHz.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</w:t>
        <w:tab/>
        <w:t>Объем оперативной памяти: 1,00 Гб.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</w:t>
        <w:tab/>
        <w:t>Объем свободного места на жестком диске: 50Мб.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</w:t>
        <w:tab/>
        <w:t>Клиентское приложение: Journal.exe.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</w:t>
        <w:tab/>
        <w:t>Папка Skins, содержит скины для оформления приложения.</w:t>
      </w:r>
    </w:p>
    <w:p>
      <w:pPr>
        <w:pStyle w:val="Normal"/>
        <w:tabs>
          <w:tab w:val="clear" w:pos="708"/>
          <w:tab w:val="left" w:pos="1134" w:leader="none"/>
        </w:tabs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</w:t>
        <w:tab/>
        <w:t>Файл с инструкцией пользователя: Instr.mht.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маркированного списка: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Минимальные условия, необходимые для работы с программой: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операционная система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SP</w:t>
      </w:r>
      <w:r>
        <w:rPr>
          <w:rFonts w:cs="Times New Roman" w:ascii="Times New Roman" w:hAnsi="Times New Roman"/>
          <w:sz w:val="28"/>
          <w:szCs w:val="28"/>
        </w:rPr>
        <w:t>3;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процессор</w:t>
      </w:r>
      <w:r>
        <w:rPr>
          <w:rFonts w:cs="Times New Roman" w:ascii="Times New Roman" w:hAnsi="Times New Roman"/>
          <w:sz w:val="28"/>
          <w:szCs w:val="28"/>
          <w:lang w:val="en-US"/>
        </w:rPr>
        <w:t>: Intel(R) Celeron(R) M 1.3GHz;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оперативной памяти: 1,00 Гб;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свободного места на жестком диске: 50Мб;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клиентское приложение: Journal.exe;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папка Skins, содержит скины для оформления приложения;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6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с инструкцией пользователя: Instr.mht.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Оформление рисунков:</w:t>
      </w:r>
      <w:r>
        <w:rPr>
          <w:rFonts w:cs="Times New Roman" w:ascii="Times New Roman" w:hAnsi="Times New Roman"/>
          <w:sz w:val="28"/>
          <w:szCs w:val="28"/>
        </w:rPr>
        <w:t xml:space="preserve"> отступ от текста до рисунка один полуторный интервал. Подпись: Рисунок 1. «Тематика рисунка» выравнивается посередине, также как и сам рисунок. Нумерация рисунков внутри главы сквозная. Размер шрифта подписи 12. В тексте выше обязательно должна быть ссылка на рисунок(см. рис. 1.1).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00600" cy="2162175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 w:val="false"/>
          <w:color w:val="000000" w:themeColor="text1"/>
          <w:sz w:val="24"/>
          <w:szCs w:val="24"/>
        </w:rPr>
        <w:fldChar w:fldCharType="begin"/>
      </w:r>
      <w:r>
        <w:rPr>
          <w:sz w:val="24"/>
          <w:b w:val="false"/>
          <w:szCs w:val="24"/>
          <w:rFonts w:cs="Times New Roman" w:ascii="Times New Roman" w:hAnsi="Times New Roman"/>
          <w:color w:val="000000"/>
        </w:rPr>
        <w:instrText> SEQ Рисунок \* ARABIC </w:instrText>
      </w:r>
      <w:r>
        <w:rPr>
          <w:sz w:val="24"/>
          <w:b w:val="false"/>
          <w:szCs w:val="24"/>
          <w:rFonts w:cs="Times New Roman" w:ascii="Times New Roman" w:hAnsi="Times New Roman"/>
          <w:color w:val="000000"/>
        </w:rPr>
        <w:fldChar w:fldCharType="separate"/>
      </w:r>
      <w:r>
        <w:rPr>
          <w:sz w:val="24"/>
          <w:b w:val="false"/>
          <w:szCs w:val="24"/>
          <w:rFonts w:cs="Times New Roman" w:ascii="Times New Roman" w:hAnsi="Times New Roman"/>
          <w:color w:val="000000"/>
        </w:rPr>
        <w:t>1</w:t>
      </w:r>
      <w:r>
        <w:rPr>
          <w:sz w:val="24"/>
          <w:b w:val="false"/>
          <w:szCs w:val="24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b w:val="false"/>
          <w:color w:val="000000" w:themeColor="text1"/>
          <w:sz w:val="24"/>
          <w:szCs w:val="24"/>
        </w:rPr>
        <w:t>.1 Схема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Оформление формул</w:t>
      </w:r>
      <w:r>
        <w:rPr>
          <w:rFonts w:cs="Times New Roman" w:ascii="Times New Roman" w:hAnsi="Times New Roman"/>
          <w:sz w:val="28"/>
          <w:szCs w:val="28"/>
        </w:rPr>
        <w:t xml:space="preserve">: формулы набираются с помощью встроенного редактора формул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Equation</w:t>
      </w:r>
      <w:r>
        <w:rPr>
          <w:rFonts w:cs="Times New Roman" w:ascii="Times New Roman" w:hAnsi="Times New Roman"/>
          <w:sz w:val="28"/>
          <w:szCs w:val="28"/>
        </w:rPr>
        <w:t>, выравнивается посередине. Номер формулы пишется справа от нее, нумерация внутри главы сквозная. Если в пояснительной записке используется только одна формула, то она не нумеруется. Под формулой расшифровываются все значения, входящие в нее. В тексте выше обязательно должна быть ссылка на формулу (см. формулу 1.1).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Пример: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                                     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(1.1)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где ( идет расшифровка всех переменных формулы)</w:t>
      </w:r>
    </w:p>
    <w:p>
      <w:pPr>
        <w:pStyle w:val="Normal"/>
        <w:shd w:val="clear" w:color="auto" w:fill="FFFFFF"/>
        <w:tabs>
          <w:tab w:val="clear" w:pos="708"/>
          <w:tab w:val="left" w:pos="108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Оформление таблиц: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таблицы выполняются на листе форматов А4. Если таблица заполняется на одном листе с текстом,  то она отделяется сверху и снизу от текста одним полуторным интервалом. Над таблицей слева указывается ее порядковый номер (без знака №) и название. Если в пояснительной записке одна таблица, то номер ей не присваивается. Не допускается: перенос слов в заголовке таблиц, диагональное деление заголовка таблицы. Если данные в какой-либо строке не приводятся, в графе ставится прочерк. </w:t>
      </w:r>
      <w:r>
        <w:rPr>
          <w:rFonts w:cs="Times New Roman" w:ascii="Times New Roman" w:hAnsi="Times New Roman"/>
          <w:sz w:val="28"/>
          <w:szCs w:val="28"/>
        </w:rPr>
        <w:t>В тексте выше обязательно должна быть ссылка на таблицу (см. таблицу 1.1).</w:t>
      </w:r>
    </w:p>
    <w:p>
      <w:pPr>
        <w:pStyle w:val="Normal"/>
        <w:shd w:val="clear" w:color="auto" w:fill="FFFFFF"/>
        <w:tabs>
          <w:tab w:val="clear" w:pos="708"/>
          <w:tab w:val="left" w:pos="1080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1080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1.1 – Название таблицы</w:t>
      </w:r>
    </w:p>
    <w:tbl>
      <w:tblPr>
        <w:tblStyle w:val="ab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4"/>
        <w:gridCol w:w="1914"/>
        <w:gridCol w:w="1914"/>
        <w:gridCol w:w="1914"/>
        <w:gridCol w:w="1915"/>
      </w:tblGrid>
      <w:tr>
        <w:trPr/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5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5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5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15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1080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Оформление приложений:</w:t>
      </w:r>
      <w:r>
        <w:rPr>
          <w:rFonts w:cs="Times New Roman" w:ascii="Times New Roman" w:hAnsi="Times New Roman"/>
          <w:sz w:val="28"/>
          <w:szCs w:val="28"/>
        </w:rPr>
        <w:t xml:space="preserve"> приложения расположены в конце пояснительной записки, оформляются без рамок, возможно 12 или 10 размером. Заголовок: Приложение А. Название приложения пишется посередине. Нумерация страниц на приложения распространяется.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А. Название приложения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1c2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f1c2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qFormat/>
    <w:rsid w:val="000f1c2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0f1c2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f1c2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f1c2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f1c2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Название Знак"/>
    <w:basedOn w:val="DefaultParagraphFont"/>
    <w:link w:val="a4"/>
    <w:uiPriority w:val="10"/>
    <w:qFormat/>
    <w:rsid w:val="000f1c2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0f1c20"/>
    <w:rPr>
      <w:b/>
      <w:bCs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f4346f"/>
    <w:rPr>
      <w:rFonts w:ascii="Tahoma" w:hAnsi="Tahoma" w:cs="Tahoma"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f1c20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next w:val="Normal"/>
    <w:link w:val="a5"/>
    <w:uiPriority w:val="10"/>
    <w:qFormat/>
    <w:rsid w:val="000f1c2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0f1c2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f434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3cf3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235f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LibreOffice/6.4.7.2$Linux_X86_64 LibreOffice_project/40$Build-2</Application>
  <Pages>3</Pages>
  <Words>521</Words>
  <Characters>3232</Characters>
  <CharactersWithSpaces>3758</CharactersWithSpaces>
  <Paragraphs>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2016-05-04T03:23:00Z</dcterms:created>
  <dc:creator>Lord</dc:creator>
  <dc:description/>
  <dc:language>ru-RU</dc:language>
  <cp:lastModifiedBy>Lord</cp:lastModifiedBy>
  <dcterms:modified xsi:type="dcterms:W3CDTF">2016-05-19T07:37:00Z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