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Liberation Sans" w:hAnsi="Liberation Sans" w:eastAsia="Liberation Sans"/>
          <w:b/>
          <w:color w:val="17151A"/>
          <w:sz w:val="38"/>
        </w:rPr>
        <w:t>УПРАВЛЕНЧЕСКАЯ АНАЛИТИЧЕСКАЯ ЗАПИСКА</w:t>
      </w:r>
    </w:p>
    <w:p>
      <w:pPr>
        <w:spacing w:after="80"/>
      </w:pPr>
      <w:r>
        <w:rPr>
          <w:rFonts w:ascii="Liberation Sans" w:hAnsi="Liberation Sans" w:eastAsia="Liberation Sans"/>
          <w:b/>
          <w:color w:val="5B4BFF"/>
          <w:sz w:val="24"/>
        </w:rPr>
        <w:t>Архитектура, стратегия снабжения и стресс-устойчивость цифрового двойника орбитального топливного узла, 2035–2040</w:t>
      </w:r>
    </w:p>
    <w:p>
      <w:pPr>
        <w:spacing w:after="160"/>
      </w:pPr>
      <w:r>
        <w:rPr>
          <w:rFonts w:ascii="Liberation Sans" w:hAnsi="Liberation Sans" w:eastAsia="Liberation Sans"/>
          <w:color w:val="6D6673"/>
          <w:sz w:val="17"/>
        </w:rPr>
        <w:t>Команда «Сырный слапик»  ·  КосмоХакатон 2026  ·  версия расчётов: web / 951f2da6  ·  20.09.2026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7F3EF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Управленческое решение.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Для обычных условий используется FINAL BASE: Lunar-ISRU + ZBO, без Earth-New. План полностью закрывает спрос и все hard-ограничения BASE при недисконтированных расходах 10 609,052 млн у.е. Если обязательный стресс известен до принятия решений, применяется отдельная ex-ante архитектура Earth-New + ZBO, без Lunar-ISRU: она защищает критический спрос полностью и удерживает общий сервис не ниже 97,24%, но стоит 12 830,504 млн у.е.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00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BASE</w:t>
            </w:r>
          </w:p>
        </w:tc>
        <w:tc>
          <w:tcPr>
            <w:tcW w:type="dxa" w:w="300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Тот же план в stress</w:t>
            </w:r>
          </w:p>
        </w:tc>
        <w:tc>
          <w:tcPr>
            <w:tcW w:type="dxa" w:w="300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Stress adaptation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100% / 100% сервис · 0 т дефицита · CAPEX 1 430 млн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78,10% / 96,54% минимум · 217,076 т дефицита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97,24% / 100% минимум · 12,394 т дефицита · CAPEX 540 млн</w:t>
            </w:r>
          </w:p>
        </w:tc>
      </w:tr>
    </w:tbl>
    <w:p>
      <w:pPr>
        <w:spacing w:after="40" w:line="250" w:lineRule="auto"/>
      </w:pPr>
      <w:r>
        <w:rPr>
          <w:rFonts w:ascii="Liberation Sans" w:hAnsi="Liberation Sans" w:eastAsia="Liberation Sans"/>
          <w:sz w:val="18"/>
        </w:rPr>
        <w:t>Расчётный источник истины: plans/final_base.json, plans/final_stress_adaptation.json и results/final-evidence/. Builder используется как ограниченный эвристический поиск и не объявляется доказательством глобального оптимума.</w:t>
      </w:r>
    </w:p>
    <w:p>
      <w:r>
        <w:br w:type="page"/>
      </w:r>
    </w:p>
    <w:p>
      <w:pPr>
        <w:spacing w:after="60"/>
      </w:pPr>
      <w:r>
        <w:rPr>
          <w:rFonts w:ascii="Liberation Sans" w:hAnsi="Liberation Sans" w:eastAsia="Liberation Sans"/>
          <w:b/>
          <w:color w:val="17151A"/>
          <w:sz w:val="36"/>
        </w:rPr>
        <w:t>НАВИГАЦИЯ ПО ЗАПИСКЕ</w:t>
      </w:r>
    </w:p>
    <w:p>
      <w:pPr>
        <w:spacing w:after="140" w:line="250" w:lineRule="auto"/>
      </w:pPr>
      <w:r>
        <w:rPr>
          <w:rFonts w:ascii="Liberation Sans" w:hAnsi="Liberation Sans" w:eastAsia="Liberation Sans"/>
          <w:sz w:val="20"/>
        </w:rPr>
        <w:t>Организатор требует управленческую записку объёмом 8–12 страниц. Ниже разделы сведены так, чтобы жюри могло быстро связать управленческий вывод с расчётом, критерием и воспроизводимым артефактом.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56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Раздел</w:t>
            </w:r>
          </w:p>
        </w:tc>
        <w:tc>
          <w:tcPr>
            <w:tcW w:type="dxa" w:w="7143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Что проверяется</w:t>
            </w:r>
          </w:p>
        </w:tc>
        <w:tc>
          <w:tcPr>
            <w:tcW w:type="dxa" w:w="1304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Критерии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1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Резюме A/B/C и управленческий выбор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8, 13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2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Граница модели, данные, CASE_INPUT / TEAM_DECISION / TEAM_ASSUMPTION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4, 6, 7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3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Архитектура ядра, материальный баланс и контрольный пример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1, 2, 5, 6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4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BASE-стратегия, инвестиции, экономика и альтернативы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3, 8, 9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5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Обязательный stress и цена адаптации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10, 12, 13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6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Чувствительность, reverse stress, риски, меры и остаточный риск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11, 14–16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7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Стейкхолдеры и изменение баланса интересов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17, 18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8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Дорожная карта и контрактные решения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9, 18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9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Воспроизводимость, интерфейс, экспорт и расширение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5, 19, 20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10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Научная база, ограничения применимости и карта критериев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7"/>
              </w:rPr>
              <w:t>7, 20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0F5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Как читать результаты.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BASE использует 97% общего и 99% критического сервиса как hard constraints. В mandatory stress те же уровни показываются как ориентиры устойчивости. A→B изолирует влияние среды на неизменный план; B→C показывает эффект изменения TEAM_DECISION при тех же стрессовых CASE_INPUT.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0F5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Статус данных.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Числа CASE_INPUT не переопределяются. Дополнительные риски, Source-X и 2041 существуют только как явно помеченные TEAM_ASSUMPTION / research copy. Денежный ущерб миссий, выручка и компенсации не выдумываются при отсутствии входных данных.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60"/>
      </w:pPr>
      <w:r>
        <w:rPr>
          <w:rFonts w:ascii="Liberation Sans" w:hAnsi="Liberation Sans" w:eastAsia="Liberation Sans"/>
          <w:b/>
          <w:color w:val="5B4BFF"/>
          <w:sz w:val="28"/>
        </w:rPr>
        <w:t>1. Резюме для руководства и сравнение сценариев</w:t>
      </w: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Задача оператора - не найти «самую дешёвую тонну», а согласовать стоимость жизненного цикла, физическую обеспеченность, сроки поставок, контрактные обязательства и возможность адаптации. Разработанный контур связывает исходные данные, TEAM_DECISION, помесячный материальный баланс, экономику, обязательный стресс, собственные риски и экспортируемые результаты. Числа ниже являются DIGITAL_TWIN_RESULT и воспроизводятся из results/final-evidence/.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tblHeader w:val="true"/>
        </w:trPr>
        <w:tc>
          <w:tcPr>
            <w:tcW w:type="dxa" w:w="510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Кейс</w:t>
            </w:r>
          </w:p>
        </w:tc>
        <w:tc>
          <w:tcPr>
            <w:tcW w:type="dxa" w:w="2381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План / среда</w:t>
            </w:r>
          </w:p>
        </w:tc>
        <w:tc>
          <w:tcPr>
            <w:tcW w:type="dxa" w:w="709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Hard-valid</w:t>
            </w:r>
          </w:p>
        </w:tc>
        <w:tc>
          <w:tcPr>
            <w:tcW w:type="dxa" w:w="879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Мин. общий сервис</w:t>
            </w:r>
          </w:p>
        </w:tc>
        <w:tc>
          <w:tcPr>
            <w:tcW w:type="dxa" w:w="93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Мин. критич. сервис</w:t>
            </w:r>
          </w:p>
        </w:tc>
        <w:tc>
          <w:tcPr>
            <w:tcW w:type="dxa" w:w="680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Дефицит, т</w:t>
            </w:r>
          </w:p>
        </w:tc>
        <w:tc>
          <w:tcPr>
            <w:tcW w:type="dxa" w:w="93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Расходы, млн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A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FINAL BASE / BASE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да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100,00%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100,00%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0,000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10 609,052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B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тот же FINAL BASE / MANDATORY_STRESS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нет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78,10%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96,54%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217,076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11 111,764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C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STRESS ADAPTATION / MANDATORY_STRESS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да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97,24%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100,00%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12,394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12 830,504</w:t>
            </w:r>
          </w:p>
        </w:tc>
      </w:tr>
    </w:tbl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Интерпретация A→B: без изменения решений стресс добавляет 217,076 т дефицита и 502,713 млн у.е. расходов; минимальный общий сервис падает на 21,896 п.п., критический - на 3,462 п.п. Интерпретация B→C: ex-ante адаптация сокращает дефицит на 204,683 т, восстанавливает критический сервис до 100% и общий ориентир до ≥97%, но требует +1 718,740 млн у.е. расходов относительно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30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_cost_shor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Liberation Sans" w:hAnsi="Liberation Sans" w:eastAsia="Liberation Sans"/>
          <w:i/>
          <w:color w:val="6D6673"/>
          <w:sz w:val="16"/>
        </w:rPr>
        <w:t>Рисунок 1 - A/B/C: неизменный план изолирует эффект стресса, C показывает цену адаптации.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0F5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Ключевая оговорка.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План C не является «кнопкой спасения» в 2038 году. Он рассчитан заранее для известного mandatory stress. Если оператор начал с FINAL BASE и шок проявился позднее, доступны только решения, которые ещё не зафиксированы и успевают пройти свой lead time.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60"/>
      </w:pPr>
      <w:r>
        <w:rPr>
          <w:rFonts w:ascii="Liberation Sans" w:hAnsi="Liberation Sans" w:eastAsia="Liberation Sans"/>
          <w:b/>
          <w:color w:val="5B4BFF"/>
          <w:sz w:val="28"/>
        </w:rPr>
        <w:t>2. Постановка, граница модели и данные</w:t>
      </w: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Модель агрегирует совместимые компоненты топлива в одном орбитальном узле. Временной шаг - 1 месяц; управленческие KPI агрегируются по годам. Критический спрос является частью общего и обслуживается приоритетно. Баллистика, термодинамика баков и телеметрия находятся вне обязательной границы прототипа.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652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Год</w:t>
            </w:r>
          </w:p>
        </w:tc>
        <w:tc>
          <w:tcPr>
            <w:tcW w:type="dxa" w:w="992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BASE общий, т</w:t>
            </w:r>
          </w:p>
        </w:tc>
        <w:tc>
          <w:tcPr>
            <w:tcW w:type="dxa" w:w="992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BASE критич., т</w:t>
            </w:r>
          </w:p>
        </w:tc>
        <w:tc>
          <w:tcPr>
            <w:tcW w:type="dxa" w:w="93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LOW общий, т</w:t>
            </w:r>
          </w:p>
        </w:tc>
        <w:tc>
          <w:tcPr>
            <w:tcW w:type="dxa" w:w="93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HIGH общий, т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2035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100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80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80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110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2036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140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105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112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154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2037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190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135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152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209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2038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250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170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200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312,5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2039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320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210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256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400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2040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390</w:t>
            </w:r>
          </w:p>
        </w:tc>
        <w:tc>
          <w:tcPr>
            <w:tcW w:type="dxa" w:w="99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250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312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487,5</w:t>
            </w:r>
          </w:p>
        </w:tc>
      </w:tr>
    </w:tbl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Официальные hard-ограничения BASE: общий сервис ≥97%, критический ≥99%; CAPEX ≤1 800 млн у.е. до конца 2037 и ≤2 800 млн у.е. до 2040; 45-дневный физический запас или доказанный эквивалентный Emergency; мощности, сроки ввода, ёмкость и контрактные правила; Emergency не становится базовым каналом более двух последовательных лет. В mandatory stress уровни 97/99 показываются как ориентиры устойчивости, а не переименовываются в новые hard constraints.</w:t>
      </w:r>
    </w:p>
    <w:p>
      <w:pPr>
        <w:pStyle w:val="Heading2"/>
        <w:keepNext/>
        <w:spacing w:before="80" w:after="60"/>
      </w:pPr>
      <w:r>
        <w:rPr>
          <w:rFonts w:ascii="Liberation Sans" w:hAnsi="Liberation Sans" w:eastAsia="Liberation Sans"/>
          <w:b/>
          <w:color w:val="17151A"/>
          <w:sz w:val="23"/>
        </w:rPr>
        <w:t>2.1 CASE_INPUT, TEAM_DECISION, TEAM_ASSUMPTION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CASE_INPUT: спрос, пять официальных источников A–E, мощности, цены, lead time, хранилища, инвестиционные параметры, CAPEX-лимиты и mandatory stress. В контрольных расчётах эти значения не подменяются.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TEAM_DECISION: объёмы и месяцы заказов, резервирование мощности, начальный запас, инвестиции, роли Emergency и резервная политика. Они хранятся в JSON-плане.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TEAM_ASSUMPTION: реальная ставка дисконтирования 5%, выбранные deterministic risk scenarios, future-year/source research inputs и иные величины, которых нет в исходнике. Они изолированы от контрольного BASE/STRESS.</w:t>
      </w:r>
    </w:p>
    <w:p>
      <w:pPr>
        <w:pStyle w:val="Heading2"/>
        <w:keepNext/>
        <w:spacing w:before="80" w:after="60"/>
      </w:pPr>
      <w:r>
        <w:rPr>
          <w:rFonts w:ascii="Liberation Sans" w:hAnsi="Liberation Sans" w:eastAsia="Liberation Sans"/>
          <w:b/>
          <w:color w:val="17151A"/>
          <w:sz w:val="23"/>
        </w:rPr>
        <w:t>2.2 Каналы, хранение и инвестиции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tblHeader w:val="true"/>
        </w:trPr>
        <w:tc>
          <w:tcPr>
            <w:tcW w:type="dxa" w:w="141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Канал</w:t>
            </w:r>
          </w:p>
        </w:tc>
        <w:tc>
          <w:tcPr>
            <w:tcW w:type="dxa" w:w="76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Мощн., т/год</w:t>
            </w:r>
          </w:p>
        </w:tc>
        <w:tc>
          <w:tcPr>
            <w:tcW w:type="dxa" w:w="76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Цена, млн/т</w:t>
            </w:r>
          </w:p>
        </w:tc>
        <w:tc>
          <w:tcPr>
            <w:tcW w:type="dxa" w:w="624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Резерв</w:t>
            </w:r>
          </w:p>
        </w:tc>
        <w:tc>
          <w:tcPr>
            <w:tcW w:type="dxa" w:w="482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TOP</w:t>
            </w:r>
          </w:p>
        </w:tc>
        <w:tc>
          <w:tcPr>
            <w:tcW w:type="dxa" w:w="879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Lead time</w:t>
            </w:r>
          </w:p>
        </w:tc>
        <w:tc>
          <w:tcPr>
            <w:tcW w:type="dxa" w:w="1361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Роль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A Earth-Core</w:t>
            </w:r>
          </w:p>
        </w:tc>
        <w:tc>
          <w:tcPr>
            <w:tcW w:type="dxa" w:w="76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190</w:t>
            </w:r>
          </w:p>
        </w:tc>
        <w:tc>
          <w:tcPr>
            <w:tcW w:type="dxa" w:w="76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6,2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0,45</w:t>
            </w:r>
          </w:p>
        </w:tc>
        <w:tc>
          <w:tcPr>
            <w:tcW w:type="dxa" w:w="48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70%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12 мес.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дешёвый базовый Earth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B Earth-Flex</w:t>
            </w:r>
          </w:p>
        </w:tc>
        <w:tc>
          <w:tcPr>
            <w:tcW w:type="dxa" w:w="76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110</w:t>
            </w:r>
          </w:p>
        </w:tc>
        <w:tc>
          <w:tcPr>
            <w:tcW w:type="dxa" w:w="76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8,9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0,15</w:t>
            </w:r>
          </w:p>
        </w:tc>
        <w:tc>
          <w:tcPr>
            <w:tcW w:type="dxa" w:w="48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0%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4 мес.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гибкий буфер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C Earth-New</w:t>
            </w:r>
          </w:p>
        </w:tc>
        <w:tc>
          <w:tcPr>
            <w:tcW w:type="dxa" w:w="76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130</w:t>
            </w:r>
          </w:p>
        </w:tc>
        <w:tc>
          <w:tcPr>
            <w:tcW w:type="dxa" w:w="76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7,1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0,30</w:t>
            </w:r>
          </w:p>
        </w:tc>
        <w:tc>
          <w:tcPr>
            <w:tcW w:type="dxa" w:w="48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50%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18–24 мес.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опцион 90+270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D Lunar-ISRU</w:t>
            </w:r>
          </w:p>
        </w:tc>
        <w:tc>
          <w:tcPr>
            <w:tcW w:type="dxa" w:w="76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120</w:t>
            </w:r>
          </w:p>
        </w:tc>
        <w:tc>
          <w:tcPr>
            <w:tcW w:type="dxa" w:w="76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3,0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</w:t>
            </w:r>
          </w:p>
        </w:tc>
        <w:tc>
          <w:tcPr>
            <w:tcW w:type="dxa" w:w="48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0%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1–2 мес. после ввода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с 2038 после CAPEX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E Emergency</w:t>
            </w:r>
          </w:p>
        </w:tc>
        <w:tc>
          <w:tcPr>
            <w:tcW w:type="dxa" w:w="76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80</w:t>
            </w:r>
          </w:p>
        </w:tc>
        <w:tc>
          <w:tcPr>
            <w:tcW w:type="dxa" w:w="76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13,8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0,35</w:t>
            </w:r>
          </w:p>
        </w:tc>
        <w:tc>
          <w:tcPr>
            <w:tcW w:type="dxa" w:w="48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0%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6 недель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резерв/аварийный</w:t>
            </w:r>
          </w:p>
        </w:tc>
      </w:tr>
    </w:tbl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Хранилище BASE: 70 т, потери 4,5% от валового throughput, holding 0,72 млн у.е./т-год. ZBO с 2036: CAPEX 180, ёмкость 120 т, потери 1,2%, +12 млн у.е./год OPEX. Lunar-ISRU: CAPEX 1 250, +70 млн у.е./год OPEX после ввода. Отдельная цена запуска не начисляется: переменная цена канала уже включает доставку в узел.</w:t>
      </w:r>
    </w:p>
    <w:p>
      <w:pPr>
        <w:pStyle w:val="Heading1"/>
        <w:keepNext/>
        <w:spacing w:before="140" w:after="60"/>
      </w:pPr>
      <w:r>
        <w:rPr>
          <w:rFonts w:ascii="Liberation Sans" w:hAnsi="Liberation Sans" w:eastAsia="Liberation Sans"/>
          <w:b/>
          <w:color w:val="5B4BFF"/>
          <w:sz w:val="28"/>
        </w:rPr>
        <w:t>3. Архитектура цифрового контура и расчётное ядро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0F5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Трассировка результата.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Streamlit UI → app/kernel_bridge.py → kosmohak.service → simulation/risk/workspace modules → SimulationResult → view_models/charts → CSV/ZIP. Фронтенд не переопределяет физику, контракты или hard constraints.</w:t>
            </w:r>
          </w:p>
        </w:tc>
      </w:tr>
    </w:tbl>
    <w:p>
      <w:pPr>
        <w:spacing w:after="0"/>
      </w:pP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Расчёт выполняется помесячно и детерминированно. Для каждого заказа сначала определяется допустимый объём по мощности/доступности, затем месяц плановой поставки с lead time, фактическая поставка среды, потери и принятие в хранилище. После этого обслуживается критический, затем некритический спрос.</w:t>
      </w:r>
    </w:p>
    <w:p>
      <w:pPr>
        <w:pStyle w:val="ListNumber"/>
        <w:spacing w:after="30" w:line="240" w:lineRule="auto"/>
      </w:pPr>
      <w:r>
        <w:rPr>
          <w:rFonts w:ascii="Liberation Sans" w:hAnsi="Liberation Sans" w:eastAsia="Liberation Sans"/>
          <w:sz w:val="19"/>
        </w:rPr>
        <w:t>Поступление и потери: NetDelivery_m = GrossDelivery_m × (1 − loss_rate_m). Потери начисляются один раз на валовое поступление, а не повторно на остаток.</w:t>
      </w:r>
    </w:p>
    <w:p>
      <w:pPr>
        <w:pStyle w:val="ListNumber"/>
        <w:spacing w:after="30" w:line="240" w:lineRule="auto"/>
      </w:pPr>
      <w:r>
        <w:rPr>
          <w:rFonts w:ascii="Liberation Sans" w:hAnsi="Liberation Sans" w:eastAsia="Liberation Sans"/>
          <w:sz w:val="19"/>
        </w:rPr>
        <w:t>Материальный баланс: I_end = max(0, I_start + AcceptedDelivery − ServedCritical − ServedNonCritical). Отрицательные физические запасы запрещены.</w:t>
      </w:r>
    </w:p>
    <w:p>
      <w:pPr>
        <w:pStyle w:val="ListNumber"/>
        <w:spacing w:after="30" w:line="240" w:lineRule="auto"/>
      </w:pPr>
      <w:r>
        <w:rPr>
          <w:rFonts w:ascii="Liberation Sans" w:hAnsi="Liberation Sans" w:eastAsia="Liberation Sans"/>
          <w:sz w:val="19"/>
        </w:rPr>
        <w:t>Сервис: SL_total,y = Served_total,y / Demand_total,y; SL_critical,y = Served_critical,y / Demand_critical,y. Критический спрос не прибавляется к общему второй раз.</w:t>
      </w:r>
    </w:p>
    <w:p>
      <w:pPr>
        <w:pStyle w:val="ListNumber"/>
        <w:spacing w:after="30" w:line="240" w:lineRule="auto"/>
      </w:pPr>
      <w:r>
        <w:rPr>
          <w:rFonts w:ascii="Liberation Sans" w:hAnsi="Liberation Sans" w:eastAsia="Liberation Sans"/>
          <w:sz w:val="19"/>
        </w:rPr>
        <w:t>45-дневный резерв: R_y = Demand_total,y × 45 / 365; физический вариант проверяется на начало года. Внутри года отдельно контролируются запас и ёмкость.</w:t>
      </w:r>
    </w:p>
    <w:p>
      <w:pPr>
        <w:pStyle w:val="ListNumber"/>
        <w:spacing w:after="30" w:line="240" w:lineRule="auto"/>
      </w:pPr>
      <w:r>
        <w:rPr>
          <w:rFonts w:ascii="Liberation Sans" w:hAnsi="Liberation Sans" w:eastAsia="Liberation Sans"/>
          <w:sz w:val="19"/>
        </w:rPr>
        <w:t>Контракт: Q_pay = max(Q_order, TOP_share × Q_reserved_period); VariablePayment = price × Q_pay. ReservationPayment считается отдельно и пропорционально длительности активного периода.</w:t>
      </w:r>
    </w:p>
    <w:p>
      <w:pPr>
        <w:pStyle w:val="ListNumber"/>
        <w:spacing w:after="30" w:line="240" w:lineRule="auto"/>
      </w:pPr>
      <w:r>
        <w:rPr>
          <w:rFonts w:ascii="Liberation Sans" w:hAnsi="Liberation Sans" w:eastAsia="Liberation Sans"/>
          <w:sz w:val="19"/>
        </w:rPr>
        <w:t>Экономика: TotalCost = Procurement + Reservation + Holding + FixedOPEX + CAPEX. Приведение: PV_t = CF_t/(1+0,05)^(t−2035), момент - конец календарного года.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7F3EF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Контрольный вектор V01.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opening=10, delivered=30, losses=2, served=25 → closing=13. Тест зафиксирован в tests/test_engine.py; дополнительные официальные контрольные векторы находятся в tests/official/.</w:t>
            </w:r>
          </w:p>
        </w:tc>
      </w:tr>
    </w:tbl>
    <w:p>
      <w:pPr>
        <w:spacing w:after="0"/>
      </w:pP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Начальный запас FINAL BASE является платным TEAM_DECISION: заказ Earth-Core 50,348 т в 2034 г. после 4,5% входных потерь формирует 48,082 т opening inventory на 2035-01. Его procurement/reservation включены в финансовый результат 2035 года.</w:t>
      </w:r>
    </w:p>
    <w:p>
      <w:pPr>
        <w:pStyle w:val="Heading1"/>
        <w:keepNext/>
        <w:spacing w:before="140" w:after="60"/>
      </w:pPr>
      <w:r>
        <w:rPr>
          <w:rFonts w:ascii="Liberation Sans" w:hAnsi="Liberation Sans" w:eastAsia="Liberation Sans"/>
          <w:b/>
          <w:color w:val="5B4BFF"/>
          <w:sz w:val="28"/>
        </w:rPr>
        <w:t>4. Выбранная стратегия, инвестиции и экономика</w:t>
      </w:r>
    </w:p>
    <w:p>
      <w:pPr>
        <w:pStyle w:val="Heading2"/>
        <w:keepNext/>
        <w:spacing w:before="80" w:after="60"/>
      </w:pPr>
      <w:r>
        <w:rPr>
          <w:rFonts w:ascii="Liberation Sans" w:hAnsi="Liberation Sans" w:eastAsia="Liberation Sans"/>
          <w:b/>
          <w:color w:val="17151A"/>
          <w:sz w:val="23"/>
        </w:rPr>
        <w:t>4.1 FINAL BASE для обычных условий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Инвестиции: Lunar-ISRU финансируется в 2035-01; ZBO вводится в 2036-01; Earth-New option не покупается и не исполняется.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Структура поставок за горизонт: A 844,737 т; B 131,526 т; D 360,000 т; E 34,904 т; C 0 т. Emergency остаётся reserve_only.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CAPEX = 1 430 млн у.е. (1 250 ISRU + 180 ZBO), ниже обоих официальных лимитов. BASE во все годы: общий и критический сервис 100%, дефицит 0.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Минимальный 45-дневный запас достигается в 2040: 46,44 дня при требовании 45. Финальный физический остаток - 9,916 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42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bud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Liberation Sans" w:hAnsi="Liberation Sans" w:eastAsia="Liberation Sans"/>
          <w:i/>
          <w:color w:val="6D6673"/>
          <w:sz w:val="16"/>
        </w:rPr>
        <w:t>Рисунок 2 - годовая структура расходов FINAL BASE; initial stock уже включён в закупочную/резервную экономику и не дублируется.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tblHeader w:val="true"/>
        </w:trPr>
        <w:tc>
          <w:tcPr>
            <w:tcW w:type="dxa" w:w="59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Год</w:t>
            </w:r>
          </w:p>
        </w:tc>
        <w:tc>
          <w:tcPr>
            <w:tcW w:type="dxa" w:w="652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CAPEX</w:t>
            </w:r>
          </w:p>
        </w:tc>
        <w:tc>
          <w:tcPr>
            <w:tcW w:type="dxa" w:w="709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Fixed OPEX</w:t>
            </w:r>
          </w:p>
        </w:tc>
        <w:tc>
          <w:tcPr>
            <w:tcW w:type="dxa" w:w="850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Закупка</w:t>
            </w:r>
          </w:p>
        </w:tc>
        <w:tc>
          <w:tcPr>
            <w:tcW w:type="dxa" w:w="93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Резервирование</w:t>
            </w:r>
          </w:p>
        </w:tc>
        <w:tc>
          <w:tcPr>
            <w:tcW w:type="dxa" w:w="709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Хранение</w:t>
            </w:r>
          </w:p>
        </w:tc>
        <w:tc>
          <w:tcPr>
            <w:tcW w:type="dxa" w:w="794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Всего</w:t>
            </w:r>
          </w:p>
        </w:tc>
      </w:tr>
      <w:tr>
        <w:tc>
          <w:tcPr>
            <w:tcW w:type="dxa" w:w="59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2035</w:t>
            </w:r>
          </w:p>
        </w:tc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1 250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2 256,143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115,042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29,119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3 650,304</w:t>
            </w:r>
          </w:p>
        </w:tc>
      </w:tr>
      <w:tr>
        <w:tc>
          <w:tcPr>
            <w:tcW w:type="dxa" w:w="59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2036</w:t>
            </w:r>
          </w:p>
        </w:tc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180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1 178,000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85,500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29,377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1 484,877</w:t>
            </w:r>
          </w:p>
        </w:tc>
      </w:tr>
      <w:tr>
        <w:tc>
          <w:tcPr>
            <w:tcW w:type="dxa" w:w="59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2037</w:t>
            </w:r>
          </w:p>
        </w:tc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840,230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60,126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36,118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948,474</w:t>
            </w:r>
          </w:p>
        </w:tc>
      </w:tr>
      <w:tr>
        <w:tc>
          <w:tcPr>
            <w:tcW w:type="dxa" w:w="59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2038</w:t>
            </w:r>
          </w:p>
        </w:tc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82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1 538,000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85,500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35,725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1 741,225</w:t>
            </w:r>
          </w:p>
        </w:tc>
      </w:tr>
      <w:tr>
        <w:tc>
          <w:tcPr>
            <w:tcW w:type="dxa" w:w="59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2039</w:t>
            </w:r>
          </w:p>
        </w:tc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82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1 543,791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79,033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35,725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1 740,549</w:t>
            </w:r>
          </w:p>
        </w:tc>
      </w:tr>
      <w:tr>
        <w:tc>
          <w:tcPr>
            <w:tcW w:type="dxa" w:w="59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2040</w:t>
            </w:r>
          </w:p>
        </w:tc>
        <w:tc>
          <w:tcPr>
            <w:tcW w:type="dxa" w:w="65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82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925,618</w:t>
            </w:r>
          </w:p>
        </w:tc>
        <w:tc>
          <w:tcPr>
            <w:tcW w:type="dxa" w:w="9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9,533</w:t>
            </w:r>
          </w:p>
        </w:tc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26,472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1 043,624</w:t>
            </w:r>
          </w:p>
        </w:tc>
      </w:tr>
    </w:tbl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Недисконтированные расходы за 2035–2040: 10 609,052 млн у.е.; дисконтированные: 9 678,561 млн у.е.; стоимость фактически обслуженной тонны: 7,632 млн у.е./т. Это стоимость обеспечения, не прибыль и не рентабельность: выручка и денежная оценка срыва миссий в CASE_INPUT отсутствуют.</w:t>
      </w:r>
    </w:p>
    <w:p>
      <w:pPr>
        <w:pStyle w:val="Heading2"/>
        <w:keepNext/>
        <w:spacing w:before="80" w:after="60"/>
      </w:pPr>
      <w:r>
        <w:rPr>
          <w:rFonts w:ascii="Liberation Sans" w:hAnsi="Liberation Sans" w:eastAsia="Liberation Sans"/>
          <w:b/>
          <w:color w:val="17151A"/>
          <w:sz w:val="23"/>
        </w:rPr>
        <w:t>4.2 Сравнение содержательно разных альтернатив</w:t>
      </w: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Сравнение проводится на одинаковых BASE/MANDATORY_STRESS входах и одинаковом методе дисконтирования. FINAL BASE - минимальная по стоимости BASE-valid стратегия, найденная bounded heuristic Builder внутри заявленного search space; глобальная оптимальность не утверждается.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1701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План относительно FINAL BASE</w:t>
            </w:r>
          </w:p>
        </w:tc>
        <w:tc>
          <w:tcPr>
            <w:tcW w:type="dxa" w:w="879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Δ стоимости BASE</w:t>
            </w:r>
          </w:p>
        </w:tc>
        <w:tc>
          <w:tcPr>
            <w:tcW w:type="dxa" w:w="1020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Δ агрегат. сервиса в stress</w:t>
            </w:r>
          </w:p>
        </w:tc>
        <w:tc>
          <w:tcPr>
            <w:tcW w:type="dxa" w:w="879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Δ stress shortage</w:t>
            </w:r>
          </w:p>
        </w:tc>
        <w:tc>
          <w:tcPr>
            <w:tcW w:type="dxa" w:w="2268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Интерпретация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cost-focused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+7,85%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+4,02 п.п.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−61,703 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платим за больший fixed-plan запас устойчивости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diversified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+11,23%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+6,60 п.п.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−101,223 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сильнее диверсификация каналов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resilient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+11,42%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+7,11 п.п.</w:t>
            </w:r>
          </w:p>
        </w:tc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−109,127 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максимум устойчивости из common plans</w:t>
            </w:r>
          </w:p>
        </w:tc>
      </w:tr>
    </w:tbl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Вывод: «дешевле в BASE» и «устойчивее без перепланирования» - разные цели. Поэтому контур не назначает единственного победителя по имени стратегии, а показывает цену дополнительной защиты.</w:t>
      </w:r>
    </w:p>
    <w:p>
      <w:r>
        <w:br w:type="page"/>
      </w:r>
    </w:p>
    <w:p>
      <w:pPr>
        <w:pStyle w:val="Heading1"/>
        <w:keepNext/>
        <w:spacing w:before="140" w:after="60"/>
      </w:pPr>
      <w:r>
        <w:rPr>
          <w:rFonts w:ascii="Liberation Sans" w:hAnsi="Liberation Sans" w:eastAsia="Liberation Sans"/>
          <w:b/>
          <w:color w:val="5B4BFF"/>
          <w:sz w:val="28"/>
        </w:rPr>
        <w:t>5. Обязательный стресс и эффект адаптации</w:t>
      </w:r>
    </w:p>
    <w:p>
      <w:pPr>
        <w:pStyle w:val="Heading2"/>
        <w:keepNext/>
        <w:spacing w:before="80" w:after="60"/>
      </w:pPr>
      <w:r>
        <w:rPr>
          <w:rFonts w:ascii="Liberation Sans" w:hAnsi="Liberation Sans" w:eastAsia="Liberation Sans"/>
          <w:b/>
          <w:color w:val="17151A"/>
          <w:sz w:val="23"/>
        </w:rPr>
        <w:t>5.1 Протокол</w:t>
      </w: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MANDATORY_STRESS применяется к нужным периодам без скрытого изменения TEAM_DECISION: с 2038 общий и критический спрос ×1,15; Earth-Core/Flex variable price ×1,25 в 2038–2039; Lunar-ISRU фактическая поставка =55% плана в 2038 и 75% в 2039; losses/throughput ≤2% в 2038–2040. Доли ISRU не умножаются повторно на reliability. Stress не объединяется автоматически с HIGH demand.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49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ser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Liberation Sans" w:hAnsi="Liberation Sans" w:eastAsia="Liberation Sans"/>
          <w:i/>
          <w:color w:val="6D6673"/>
          <w:sz w:val="16"/>
        </w:rPr>
        <w:t>Рисунок 3 - сервис неизменного BASE-плана и ex-ante stress adaptation в обязательном стрессе.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56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Год</w:t>
            </w:r>
          </w:p>
        </w:tc>
        <w:tc>
          <w:tcPr>
            <w:tcW w:type="dxa" w:w="822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B: спрос, т</w:t>
            </w:r>
          </w:p>
        </w:tc>
        <w:tc>
          <w:tcPr>
            <w:tcW w:type="dxa" w:w="1191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B: общий/критич. сервис</w:t>
            </w:r>
          </w:p>
        </w:tc>
        <w:tc>
          <w:tcPr>
            <w:tcW w:type="dxa" w:w="124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B: дефицит, т</w:t>
            </w:r>
          </w:p>
        </w:tc>
        <w:tc>
          <w:tcPr>
            <w:tcW w:type="dxa" w:w="1134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C: общий/критич. сервис</w:t>
            </w:r>
          </w:p>
        </w:tc>
        <w:tc>
          <w:tcPr>
            <w:tcW w:type="dxa" w:w="90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C: дефицит, 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2038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287,5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85,66% / 96,54%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41,234 (крит. 6,769)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100% / 100%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2039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368,0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78,90% / 99,79%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77,640 (крит. 0,500)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100% / 100%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2040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448,5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78,10% / 100%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98,202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97,24% / 100%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12,394</w:t>
            </w:r>
          </w:p>
        </w:tc>
      </w:tr>
    </w:tbl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В B неизменная Lunar-архитектура плохо переносит одновременно рост спроса, удорожание Earth и снижение фактической Lunar-поставки: суммарный shortage 217,076 т, из них критический 7,269 т. В C оператор заранее меняет TEAM_DECISION: финансирует Earth-New + ZBO, не финансирует Lunar-ISRU и увеличивает Earth-Flex/Earth-New. CAPEX C = 540 млн у.е., однако lifecycle cost растёт до 12 830,504 млн у.е. из-за более дорогой структуры закупок.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7F3EF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Управленческий вывод.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Если mandatory stress известен на этапе планирования, C обеспечивает 100% критического сервиса и оставляет только 12,394 т некритического дефицита в 2040 при общем сервисе 97,24%. Если шок обнаружен позже, нужен отдельный reactive plan с учётом уже принятых обязательств и lead time; мгновенный переход к C недопустим.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60"/>
      </w:pPr>
      <w:r>
        <w:rPr>
          <w:rFonts w:ascii="Liberation Sans" w:hAnsi="Liberation Sans" w:eastAsia="Liberation Sans"/>
          <w:b/>
          <w:color w:val="5B4BFF"/>
          <w:sz w:val="28"/>
        </w:rPr>
        <w:t>6. Чувствительность, границы устойчивости и риски</w:t>
      </w:r>
    </w:p>
    <w:p>
      <w:pPr>
        <w:pStyle w:val="Heading2"/>
        <w:keepNext/>
        <w:spacing w:before="80" w:after="60"/>
      </w:pPr>
      <w:r>
        <w:rPr>
          <w:rFonts w:ascii="Liberation Sans" w:hAnsi="Liberation Sans" w:eastAsia="Liberation Sans"/>
          <w:b/>
          <w:color w:val="17151A"/>
          <w:sz w:val="23"/>
        </w:rPr>
        <w:t>6.1 Чувствительность и reverse stress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41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Проверка</w:t>
            </w:r>
          </w:p>
        </w:tc>
        <w:tc>
          <w:tcPr>
            <w:tcW w:type="dxa" w:w="2721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2891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Что это означает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LOW / BASE / HIGH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LOW: service 100%, но storage overflow; BASE: valid; HIGH: aggregate service 83,68%, shortage 273,084 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фиксированный план чувствителен как к росту, так и к снижению спроса; при LOW проблема - переполнение, а не дефицит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Demand multiplier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+1%: первое hard-нарушение - резерв 2040, 36,71 дня; +2%: дополнительно общий сервис 2040 = 95,50%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сначала заканчивается запас устойчивости, затем сервис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Earth-Flex lead time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+1 месяц уже делает fixed plan infeasible; shortage 14,244 т; сервис 2040 = 96,35%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план чувствителен к timing гибкого канала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ZBO loss ×1,25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service ещё 100%, но резерв 2040 = 43,83 дня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резерв сигнализирует деградацию раньше, чем service level</w:t>
            </w:r>
          </w:p>
        </w:tc>
      </w:tr>
    </w:tbl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Диапазоны LOW/HIGH заданы организатором; дополнительные сетки demand/lead-time/loss - TEAM_ASSUMPTION и служат диагностике fixed decision set. Reverse stress показывает первый отказ на проверенной сетке и не выдаётся за непрерывное математическое доказательство порога.</w:t>
      </w:r>
    </w:p>
    <w:p>
      <w:pPr>
        <w:pStyle w:val="Heading2"/>
        <w:keepNext/>
        <w:spacing w:before="80" w:after="60"/>
      </w:pPr>
      <w:r>
        <w:rPr>
          <w:rFonts w:ascii="Liberation Sans" w:hAnsi="Liberation Sans" w:eastAsia="Liberation Sans"/>
          <w:b/>
          <w:color w:val="17151A"/>
          <w:sz w:val="23"/>
        </w:rPr>
        <w:t>6.2 Реестр рисков команды и количественная митигация</w:t>
      </w: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configs/risks/team_risks.json содержит 8 TEAM_ASSUMPTION risk scenarios: Lunar underdelivery, Earth price shock, Earth-Core outage, Earth-New delay, storage degradation, demand upside, logistics delay, Lunar CAPEX overrun. Для каждого хранятся событие, причина, период, factor_changes, зависимости, owner, likelihood status, stakeholders, mitigation и residual statement. Там, где статистической базы нет, вероятность честно UNKNOWN.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41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Риск</w:t>
            </w:r>
          </w:p>
        </w:tc>
        <w:tc>
          <w:tcPr>
            <w:tcW w:type="dxa" w:w="2778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Расчётный эффект на FINAL BASE</w:t>
            </w:r>
          </w:p>
        </w:tc>
        <w:tc>
          <w:tcPr>
            <w:tcW w:type="dxa" w:w="283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Мера / остаток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Lunar-ISRU 40% в 2038–39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shortage 132,356 т; критический 35,136 т; 7 hard violations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диверсификация описана как мера; количественный residual не заявляется без утверждённого plan patch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Earth-Core outage, 6 мес. 2038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shortage 17,358 т; критический 0; нарушаются reserve и total service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предварительно забронировать Flex: после rerun shortage 0, service 100/100, +308,609 млн; residual impact score 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ZBO loss =2,5% в 2038–40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меньше net delivery и inventory; consequence рассчитывается twin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доп. gross supply/maintenance только как явное решение; не монетизируем неизвестный ущерб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Demand +10% в 2039–40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быстрее расходуется inventory и возникают service/reserve gaps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сохранять contractual headroom; точный response рассчитывается после plan patch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0F5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Почему не Monte Carlo.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В кейсе есть reliability metadata, но нет полной статистической модели отказов и зависимостей. Поэтому основной риск-анализ сценарный/интервальный. Monte Carlo допустим только после обоснования распределений, зависимостей, seed и числа прогонов; вымышленная вероятность не повышает качество решения.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60"/>
      </w:pPr>
      <w:r>
        <w:rPr>
          <w:rFonts w:ascii="Liberation Sans" w:hAnsi="Liberation Sans" w:eastAsia="Liberation Sans"/>
          <w:b/>
          <w:color w:val="5B4BFF"/>
          <w:sz w:val="28"/>
        </w:rPr>
        <w:t>7. Стейкхолдеры, обязательства и изменение баланса интересов</w:t>
      </w: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Карта сторон хранится в configs/stakeholders.json и используется как интерпретационный слой поверх рассчитанных последствий. Интересы сторон не изменяют физические ограничения. Денежный ущерб, выручка, штрафы и компенсации не придумываются без входных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124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Сторона</w:t>
            </w:r>
          </w:p>
        </w:tc>
        <w:tc>
          <w:tcPr>
            <w:tcW w:type="dxa" w:w="1304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A: BASE</w:t>
            </w:r>
          </w:p>
        </w:tc>
        <w:tc>
          <w:tcPr>
            <w:tcW w:type="dxa" w:w="1531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B: stress без адаптации</w:t>
            </w:r>
          </w:p>
        </w:tc>
        <w:tc>
          <w:tcPr>
            <w:tcW w:type="dxa" w:w="158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C: stress adaptation</w:t>
            </w:r>
          </w:p>
        </w:tc>
        <w:tc>
          <w:tcPr>
            <w:tcW w:type="dxa" w:w="1928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Кто несёт последствие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Оператор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все constraints; 10 609,052 млн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shortage 217,076 т; cost 11 111,764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shortage 12,394 т; cost 12 830,504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платит procurement/reservation/OPEX/CAPEX; отвечает за service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Критические потребители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100%; 0 т shortage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мин. 96,54%; 7,269 т shortage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100%; 0 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несут критический дефицит при недостатке физического топлива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Коммерческие потребители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100%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основная часть 217,076 т дефицита после priority allocation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12,394 т residual non-critical shortage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приоритетно сокращается некритический спрос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Поставщики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A/B/D/E mix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тот же контрактный план, D фактически 276 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mix смещён в A/B/C/E, D=0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получают объёмы по контрактам; риск своих задержек/недопоставки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Финансирование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CAPEX 1 430: Lunar+ZBO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обязательства BASE уже приняты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CAPEX 540: Earth-New+ZBO, но выше lifecycle cost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несёт CAPEX и риск неэффективных инвестиций</w:t>
            </w:r>
          </w:p>
        </w:tc>
      </w:tr>
    </w:tbl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Изменение B→C - прозрачный компромисс: оператор/финансирование принимают +1 718,740 млн у.е. к стоимости B, чтобы сократить shortage на 204,683 т и полностью защитить critical demand. В mandatory stress недопоставка Lunar-ISRU не создаёт автоматического возврата платежа; компенсация возможна только в отдельном договорном scenario с явными правилами.</w:t>
      </w:r>
    </w:p>
    <w:p>
      <w:pPr>
        <w:pStyle w:val="Heading1"/>
        <w:keepNext/>
        <w:spacing w:before="140" w:after="60"/>
      </w:pPr>
      <w:r>
        <w:rPr>
          <w:rFonts w:ascii="Liberation Sans" w:hAnsi="Liberation Sans" w:eastAsia="Liberation Sans"/>
          <w:b/>
          <w:color w:val="5B4BFF"/>
          <w:sz w:val="28"/>
        </w:rPr>
        <w:t>8. Дорожная карта, контракты и точки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879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283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Решение / gate</w:t>
            </w:r>
          </w:p>
        </w:tc>
        <w:tc>
          <w:tcPr>
            <w:tcW w:type="dxa" w:w="1701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Финансовый эффект</w:t>
            </w:r>
          </w:p>
        </w:tc>
        <w:tc>
          <w:tcPr>
            <w:tcW w:type="dxa" w:w="2268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Проверка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2034→2035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платный opening stock Earth-Core 50,348 т gross → 48,082 т opening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initial stock procurement+reservation в 2035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lead time, доступность, отсутствие double count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2035-01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финансировать Lunar-ISRU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CAPEX 1 250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не повышать first-year reliability выше CASE_INPUT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2036-01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ввести ZBO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CAPEX 180; +12 OPEX/год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capacity 120 т; losses 1,2%; reserve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2037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проверка sensitivity/reverse stress перед 2038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без скрытого CAPEX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demand/timing/storage trigger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2038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ввод Lunar-ISRU в BASE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+70 OPEX/год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monthly delivery, inventory, service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2039–2040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контроль резерва и сценарное перепланирование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по рассчитанным контрактам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reserve ≥45d; fixed plan не объявлять универсально robust</w:t>
            </w:r>
          </w:p>
        </w:tc>
      </w:tr>
    </w:tbl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Контрактная архитектура: reservation даёт право на мощность, но не является физическим запасом; take-or-pay определяет минимально оплачиваемый объём; поставка доступна только после lead time; Earth-New требует раннего option purchase/exercise; launch/delivery расходы уже агрегированы в цене канала. Реальные штрафы и отдельные launch prices не выдумываются.</w:t>
      </w:r>
    </w:p>
    <w:p>
      <w:pPr>
        <w:pStyle w:val="Heading1"/>
        <w:keepNext/>
        <w:spacing w:before="140" w:after="60"/>
      </w:pPr>
      <w:r>
        <w:rPr>
          <w:rFonts w:ascii="Liberation Sans" w:hAnsi="Liberation Sans" w:eastAsia="Liberation Sans"/>
          <w:b/>
          <w:color w:val="5B4BFF"/>
          <w:sz w:val="28"/>
        </w:rPr>
        <w:t>9. Воспроизводимость, интерфейс, масштабируемость и границы прототипа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Оператор меняет закупки, reservation, инвестиции, входные характеристики источников и пользовательские сценарии через Streamlit; после явного «Пересчитать» backend возвращает единый SimulationResult. Нарушения показываются с периодом, фактом, лимитом и причиной.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Планы сохраняются и повторно открываются в JSON. CSV/ZIP формируются тем же backend export path; Streamlit-CSV содержит единицы в заголовках (например Demand_t, CAPEX_mln, SL_total_pct).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Расширяемость демонстрируется неразрушающим research workspace: дополнительный Source-X в data/supply_sources_with_X.csv и будущий период 2041 задаются как TEAM_ASSUMPTION; официальный BASE не изменяется.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Тесты: V01 material balance в tests/test_engine.py; structural/research/export artifact regression tests; official arithmetic vectors; повторный расчёт детерминирован при одинаковых входах.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9"/>
        </w:rPr>
        <w:t>Builder - bounded heuristic search, не доказательство глобального optimum/infeasibility. Mandatory stress официально задан только для 2035–2040. Research horizon не выдаётся за прогноз организатора.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7F3EF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Порядок проверки жюри.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1) открыть BASE; 2) изменить одно решение и пересчитать; 3) переключить mandatory stress; 4) сравнить тот же план и stress adaptation; 5) запустить sensitivity/risk; 6) сохранить/открыть JSON; 7) выгрузить CSV/ZIP; 8) показать Source-X/2041 в research copy.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60"/>
      </w:pPr>
      <w:r>
        <w:rPr>
          <w:rFonts w:ascii="Liberation Sans" w:hAnsi="Liberation Sans" w:eastAsia="Liberation Sans"/>
          <w:b/>
          <w:color w:val="5B4BFF"/>
          <w:sz w:val="28"/>
        </w:rPr>
        <w:t>10. Научная и методическая база</w:t>
      </w: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Источники используются для метода и границ применимости, а не для подмены синтетических цен/мощностей кейса. Связь «источник → положение → реализация → ограничение» зафиксирована в docs/SCIENTIFIC_BASIS.md.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814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2494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Что поддерживает</w:t>
            </w:r>
          </w:p>
        </w:tc>
        <w:tc>
          <w:tcPr>
            <w:tcW w:type="dxa" w:w="3515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Как используется / ограничение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NASA-STD-7009B, 2024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credibility, verification, validation, uncertainty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provenance, control cases, reproducibility; не задаёт supply mix/цены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Ho, 2024, DOI 10.2514/1.A35982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space logistics, inventory/network-flow planning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supply+depot+timing как единая система; не задаёт числа кейса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Simonini et al., 2024, DOI 10.1038/s41526-024-00377-5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cryogenic storage/transfer challenges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обосновывает отдельный storage/loss block; 1,2% не объявляется универсальным физическим rate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Sommariva et al., 2023, DOI 10.1016/j.actaastro.2023.01.004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Earth-vs-Moon techno-economics, uncertainty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обосновывает совместное технико-экономическое сравнение; вывод статьи не переносится как готовое решение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Han et al., 2023; Guo et al., 2025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dual sourcing, inventory, reservation, resilience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поддерживают класс trade-offs redundancy/flexibility; не калибруют A/B/C/D/E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Linkov et al., 2006; JCGM 101:2008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adaptive MCDA; reproducible Monte Carlo mechanics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4"/>
              </w:rPr>
              <w:t>weights/probabilities требуют обоснования; в core используется deterministic scenario/reverse stress</w:t>
            </w:r>
          </w:p>
        </w:tc>
      </w:tr>
    </w:tbl>
    <w:p>
      <w:pPr>
        <w:pStyle w:val="Heading2"/>
        <w:keepNext/>
        <w:spacing w:before="80" w:after="60"/>
      </w:pPr>
      <w:r>
        <w:rPr>
          <w:rFonts w:ascii="Liberation Sans" w:hAnsi="Liberation Sans" w:eastAsia="Liberation Sans"/>
          <w:b/>
          <w:color w:val="17151A"/>
          <w:sz w:val="23"/>
        </w:rPr>
        <w:t>10.1 Навигация по критериям оценки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24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Критерии</w:t>
            </w:r>
          </w:p>
        </w:tc>
        <w:tc>
          <w:tcPr>
            <w:tcW w:type="dxa" w:w="6406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Где подтверждено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1–5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разделы 2–4; V01; annual/monthly balance; economics; violations; exports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6–9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разделы 3–4 и 8; architecture path, alternatives, contracts, investment gates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10–13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раздел 5–6; mandatory stress, sensitivity, reverse stress, A/B/C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14–16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раздел 6; team risk register, quantitative consequences, Core-outage mitigation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17–18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раздел 7; calculated A/B/C consequences by stakeholder and cost/risk bearers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19–20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5"/>
              </w:rPr>
              <w:t>раздел 9; operator UI, JSON roundtrip, unit-aware CSV/ZIP, Source-X, 2041 research</w:t>
            </w:r>
          </w:p>
        </w:tc>
      </w:tr>
    </w:tbl>
    <w:p>
      <w:pPr>
        <w:pStyle w:val="Heading2"/>
        <w:keepNext/>
        <w:spacing w:before="80" w:after="60"/>
      </w:pPr>
      <w:r>
        <w:rPr>
          <w:rFonts w:ascii="Liberation Sans" w:hAnsi="Liberation Sans" w:eastAsia="Liberation Sans"/>
          <w:b/>
          <w:color w:val="17151A"/>
          <w:sz w:val="23"/>
        </w:rPr>
        <w:t>10.2 Основные артефакты воспроизведения</w:t>
      </w: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Код и расчёт: plans/final_base.json; plans/final_stress_adaptation.json; results/final-evidence/master_comparison.csv; docs/STRESS_PROTOCOL.md; docs/FINAL_ROADMAP.md; docs/SCIENTIFIC_BASIS.md; docs/STAKEHOLDER_IMPACT.md; configs/risks/team_risks.json; configs/stakeholders.json. Основной запуск: streamlit run streamlit_app.py.</w:t>
      </w:r>
    </w:p>
    <w:p>
      <w:pPr>
        <w:spacing w:after="60" w:line="250" w:lineRule="auto"/>
      </w:pPr>
      <w:r>
        <w:rPr>
          <w:rFonts w:ascii="Liberation Sans" w:hAnsi="Liberation Sans" w:eastAsia="Liberation Sans"/>
          <w:sz w:val="20"/>
        </w:rPr>
        <w:t>Граница выводов: это стратегический цифровой двойник с месячным timestep. Он не управляет реальным оборудованием, не рассчитывает баллистику и детальную криогенную термодинамику, не оценивает прибыль или денежную стоимость срыва миссии без дополнительных данных.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65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D6673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 w:eastAsia="Liberation Sans"/>
        <w:b/>
        <w:color w:val="6D6673"/>
        <w:sz w:val="15"/>
      </w:rPr>
      <w:t>КОСМОКОНТУР 2035  ·  УПРАВЛЕНЧЕСКАЯ ЗАПИСКА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B4B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15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151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6D66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