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Описание работы daily script</w:t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Версия 2.7.0</w:t>
      </w:r>
    </w:p>
    <w:p>
      <w:pPr>
        <w:pStyle w:val="Note"/>
      </w:pPr>
      <w:r>
        <w:t>Документ описывает актуальную логику программы: меню, входные источники, фильтры и результат ежедневной справки RAW04.</w:t>
      </w:r>
    </w:p>
    <w:p>
      <w:pPr>
        <w:pStyle w:val="Heading1"/>
      </w:pPr>
      <w:r>
        <w:t>1 Главное меню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79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Пункт</w:t>
            </w:r>
          </w:p>
        </w:tc>
        <w:tc>
          <w:tcPr>
            <w:tcW w:type="dxa" w:w="289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Режим</w:t>
            </w:r>
          </w:p>
        </w:tc>
        <w:tc>
          <w:tcPr>
            <w:tcW w:type="dxa" w:w="510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7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1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Основной режим: Ежедневная справка RAW04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Формирует ежедневную справку. Для запуска обязательна только большая выгрузка.</w:t>
            </w:r>
          </w:p>
        </w:tc>
      </w:tr>
      <w:tr>
        <w:tc>
          <w:tcPr>
            <w:tcW w:type="dxa" w:w="79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2</w:t>
            </w:r>
          </w:p>
        </w:tc>
        <w:tc>
          <w:tcPr>
            <w:tcW w:type="dxa" w:w="289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Остальные режимы</w:t>
            </w:r>
          </w:p>
        </w:tc>
        <w:tc>
          <w:tcPr>
            <w:tcW w:type="dxa" w:w="510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Открывает старый, новый, расчет с АПП КГД и большой выгрузкой, смешанный и единый режимы.</w:t>
            </w:r>
          </w:p>
        </w:tc>
      </w:tr>
      <w:tr>
        <w:tc>
          <w:tcPr>
            <w:tcW w:type="dxa" w:w="7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3</w:t>
            </w:r>
          </w:p>
        </w:tc>
        <w:tc>
          <w:tcPr>
            <w:tcW w:type="dxa" w:w="289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Выход</w:t>
            </w:r>
          </w:p>
        </w:tc>
        <w:tc>
          <w:tcPr>
            <w:tcW w:type="dxa" w:w="51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Завершает работу программы.</w:t>
            </w:r>
          </w:p>
        </w:tc>
      </w:tr>
    </w:tbl>
    <w:p>
      <w:pPr/>
      <w:r>
        <w:t>В дополнительном меню пункт 3 называется «Режим v2.7.0: с АПП КГД и большой выгрузкой». Он сохраняет прежнюю логику расчета с отчетом КГД и большой выгрузкой.</w:t>
      </w:r>
    </w:p>
    <w:p>
      <w:pPr>
        <w:pStyle w:val="Heading1"/>
      </w:pPr>
      <w:r>
        <w:t>2 Входные файлы основного режима RAW04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209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Источник</w:t>
            </w:r>
          </w:p>
        </w:tc>
        <w:tc>
          <w:tcPr>
            <w:tcW w:type="dxa" w:w="153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Статус</w:t>
            </w:r>
          </w:p>
        </w:tc>
        <w:tc>
          <w:tcPr>
            <w:tcW w:type="dxa" w:w="515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Использование</w:t>
            </w:r>
          </w:p>
        </w:tc>
      </w:tr>
      <w:tr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Большая выгрузка</w:t>
            </w:r>
          </w:p>
        </w:tc>
        <w:tc>
          <w:tcPr>
            <w:tcW w:type="dxa" w:w="15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Обязательный</w:t>
            </w:r>
          </w:p>
        </w:tc>
        <w:tc>
          <w:tcPr>
            <w:tcW w:type="dxa" w:w="515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Основной источник перевозок. Определяется по структуре заголовков, а не по имени файла.</w:t>
            </w:r>
          </w:p>
        </w:tc>
      </w:tr>
      <w:tr>
        <w:tc>
          <w:tcPr>
            <w:tcW w:type="dxa" w:w="209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report_*.xlsx</w:t>
            </w:r>
          </w:p>
        </w:tc>
        <w:tc>
          <w:tcPr>
            <w:tcW w:type="dxa" w:w="153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Необязательный</w:t>
            </w:r>
          </w:p>
        </w:tc>
        <w:tc>
          <w:tcPr>
            <w:tcW w:type="dxa" w:w="515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Нужен для Таблицы8: остатки НП и месячный расход. При отсутствии расчет продолжается, Таблица8 помечается как недоступная.</w:t>
            </w:r>
          </w:p>
        </w:tc>
      </w:tr>
      <w:tr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Готовность АПП ЖД Территория.xlsx</w:t>
            </w:r>
          </w:p>
        </w:tc>
        <w:tc>
          <w:tcPr>
            <w:tcW w:type="dxa" w:w="15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Необязательный</w:t>
            </w:r>
          </w:p>
        </w:tc>
        <w:tc>
          <w:tcPr>
            <w:tcW w:type="dxa" w:w="515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Дополняет остатки НП. При отсутствии выводится предупреждение.</w:t>
            </w:r>
          </w:p>
        </w:tc>
      </w:tr>
    </w:tbl>
    <w:p>
      <w:pPr/>
      <w:r>
        <w:t>Большая выгрузка должна содержать дату создания, номер перевозки, статус, дату обновления, тип перевозки, тип транспорта, страны начала и завершения, начальный и конечный пункты, номера НП и служебные поля. Вариант «Железнодорожный траспорт» распознается как ЖД.</w:t>
      </w:r>
    </w:p>
    <w:p>
      <w:pPr>
        <w:pStyle w:val="Heading1"/>
      </w:pPr>
      <w:r>
        <w:t>3 Правила отбора большой выгрузки</w:t>
      </w:r>
    </w:p>
    <w:p>
      <w:pPr>
        <w:ind w:left="425" w:hanging="227"/>
      </w:pPr>
      <w:r>
        <w:t xml:space="preserve">• </w:t>
      </w:r>
      <w:r>
        <w:t>Период основных расчетов: с 11 февраля 2026 года по последнюю дату в источнике.</w:t>
      </w:r>
    </w:p>
    <w:p>
      <w:pPr>
        <w:ind w:left="425" w:hanging="227"/>
      </w:pPr>
      <w:r>
        <w:t xml:space="preserve">• </w:t>
      </w:r>
      <w:r>
        <w:t>Повторяющиеся номера перевозок объединяются: используется актуальная версия записи.</w:t>
      </w:r>
    </w:p>
    <w:p>
      <w:pPr>
        <w:ind w:left="425" w:hanging="227"/>
      </w:pPr>
      <w:r>
        <w:t xml:space="preserve">• </w:t>
      </w:r>
      <w:r>
        <w:t>Таблица1: таможенный транзит из РК, активированные и завершенные перевозки, распределение по постам, странам и авто/ЖД.</w:t>
      </w:r>
    </w:p>
    <w:p>
      <w:pPr>
        <w:ind w:left="425" w:hanging="227"/>
      </w:pPr>
      <w:r>
        <w:t xml:space="preserve">• </w:t>
      </w:r>
      <w:r>
        <w:t>Таблица2: экспорт и взаимная торговля из РК, активированные и завершенные перевозки, страны и авто/ЖД.</w:t>
      </w:r>
    </w:p>
    <w:p>
      <w:pPr>
        <w:ind w:left="425" w:hanging="227"/>
      </w:pPr>
      <w:r>
        <w:t xml:space="preserve">• </w:t>
      </w:r>
      <w:r>
        <w:t>Таблица3: прослеживание через РК по направлениям РБ-КР, РФ-КР, КР-РФ и КР-РБ; статусы активированная и завершенная перевозка.</w:t>
      </w:r>
    </w:p>
    <w:p>
      <w:pPr>
        <w:ind w:left="425" w:hanging="227"/>
      </w:pPr>
      <w:r>
        <w:t xml:space="preserve">• </w:t>
      </w:r>
      <w:r>
        <w:t>Таблица4: завершенные перевозки, отдельно из РК и в РК, с разбиением на авто и ЖД.</w:t>
      </w:r>
    </w:p>
    <w:p>
      <w:pPr>
        <w:ind w:left="425" w:hanging="227"/>
      </w:pPr>
      <w:r>
        <w:t xml:space="preserve">• </w:t>
      </w:r>
      <w:r>
        <w:t>Таблица5: активные перевозки в РК по направлениям.</w:t>
      </w:r>
    </w:p>
    <w:p>
      <w:pPr>
        <w:ind w:left="425" w:hanging="227"/>
      </w:pPr>
      <w:r>
        <w:t xml:space="preserve">• </w:t>
      </w:r>
      <w:r>
        <w:t>Таблица6: наложение НП по направлениям, включая статичную строку РК-РК (пилот).</w:t>
      </w:r>
    </w:p>
    <w:p>
      <w:pPr>
        <w:ind w:left="425" w:hanging="227"/>
      </w:pPr>
      <w:r>
        <w:t xml:space="preserve">• </w:t>
      </w:r>
      <w:r>
        <w:t>Таблица7: наложение НП по точкам начала и нормализованным названиям постов.</w:t>
      </w:r>
    </w:p>
    <w:p>
      <w:pPr>
        <w:pStyle w:val="Heading1"/>
      </w:pPr>
      <w:r>
        <w:t>4 Листы результата RAW04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8"/>
        <w:gridCol w:w="4958"/>
      </w:tblGrid>
      <w:tr>
        <w:tc>
          <w:tcPr>
            <w:tcW w:type="dxa" w:w="170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Лист</w:t>
            </w:r>
          </w:p>
        </w:tc>
        <w:tc>
          <w:tcPr>
            <w:tcW w:type="dxa" w:w="708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Шапка</w:t>
            </w:r>
          </w:p>
        </w:tc>
        <w:tc>
          <w:tcPr>
            <w:tcW w:type="dxa" w:w="70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Числа для текста справки: оформлено, мониторинг, завершено и разбивка по процедурам и странам.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Таблица1</w:t>
            </w:r>
          </w:p>
        </w:tc>
        <w:tc>
          <w:tcPr>
            <w:tcW w:type="dxa" w:w="708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Транзит по пунктам, странам назначения и типам транспорта.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Таблица2</w:t>
            </w:r>
          </w:p>
        </w:tc>
        <w:tc>
          <w:tcPr>
            <w:tcW w:type="dxa" w:w="70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Экспорт и взаимная торговля по странам и типам транспорта.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Таблица3</w:t>
            </w:r>
          </w:p>
        </w:tc>
        <w:tc>
          <w:tcPr>
            <w:tcW w:type="dxa" w:w="708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Услуги прослеживания через РК.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Таблица4</w:t>
            </w:r>
          </w:p>
        </w:tc>
        <w:tc>
          <w:tcPr>
            <w:tcW w:type="dxa" w:w="70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Завершенные перевозки из РК и в РК по авто и ЖД.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Таблица5</w:t>
            </w:r>
          </w:p>
        </w:tc>
        <w:tc>
          <w:tcPr>
            <w:tcW w:type="dxa" w:w="708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Активные перевозки в сторону РК.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Таблица6</w:t>
            </w:r>
          </w:p>
        </w:tc>
        <w:tc>
          <w:tcPr>
            <w:tcW w:type="dxa" w:w="70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Наложения НП по направлениям.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Таблица7</w:t>
            </w:r>
          </w:p>
        </w:tc>
        <w:tc>
          <w:tcPr>
            <w:tcW w:type="dxa" w:w="708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Наложения НП по автомобильным постам и ЖД-станциям.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Таблица8</w:t>
            </w:r>
          </w:p>
        </w:tc>
        <w:tc>
          <w:tcPr>
            <w:tcW w:type="dxa" w:w="70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Остатки и месячный расход НП из дополнительного report; при его отсутствии содержит понятное уведомление.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Диагностика</w:t>
            </w:r>
          </w:p>
        </w:tc>
        <w:tc>
          <w:tcPr>
            <w:tcW w:type="dxa" w:w="708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Контроль нормализации постов и нераспознанных значений.</w:t>
            </w:r>
          </w:p>
        </w:tc>
      </w:tr>
    </w:tbl>
    <w:p>
      <w:pPr>
        <w:pStyle w:val="Heading1"/>
      </w:pPr>
      <w:r>
        <w:t>5 Рабочие папки</w:t>
      </w:r>
    </w:p>
    <w:p>
      <w:pPr>
        <w:ind w:left="425" w:hanging="227"/>
      </w:pPr>
      <w:r>
        <w:t xml:space="preserve">• </w:t>
      </w:r>
      <w:r>
        <w:t>in: файлы очередного запуска.</w:t>
      </w:r>
    </w:p>
    <w:p>
      <w:pPr>
        <w:ind w:left="425" w:hanging="227"/>
      </w:pPr>
      <w:r>
        <w:t xml:space="preserve">• </w:t>
      </w:r>
      <w:r>
        <w:t>in/processed: архив успешно обработанных источников.</w:t>
      </w:r>
    </w:p>
    <w:p>
      <w:pPr>
        <w:ind w:left="425" w:hanging="227"/>
      </w:pPr>
      <w:r>
        <w:t xml:space="preserve">• </w:t>
      </w:r>
      <w:r>
        <w:t>out/results: сформированные Excel-отчеты.</w:t>
      </w:r>
    </w:p>
    <w:p>
      <w:pPr>
        <w:ind w:left="425" w:hanging="227"/>
      </w:pPr>
      <w:r>
        <w:t xml:space="preserve">• </w:t>
      </w:r>
      <w:r>
        <w:t>monthly_baselines: сохраненные месячные снимки НП для расчета расхода в следующих месяцах.</w:t>
      </w:r>
    </w:p>
    <w:p>
      <w:pPr>
        <w:ind w:left="425" w:hanging="227"/>
      </w:pPr>
      <w:r>
        <w:t xml:space="preserve">• </w:t>
      </w:r>
      <w:r>
        <w:t>docs: пользовательские инструкции и история версий проекта.</w:t>
      </w:r>
    </w:p>
    <w:sectPr w:rsidR="00FC693F" w:rsidRPr="0006063C" w:rsidSect="00034616">
      <w:pgSz w:w="12240" w:h="15840"/>
      <w:pgMar w:top="1134" w:right="1020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120"/>
    </w:pPr>
    <w:rPr>
      <w:rFonts w:ascii="Times New Roman" w:hAnsi="Times New Roman" w:eastAsia="Times New Roman"/>
      <w:i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работы daily script 2.7.0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