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F098" w14:textId="645C4A88" w:rsidR="00F30297" w:rsidRPr="00CE13A3" w:rsidRDefault="00F30297" w:rsidP="008D3F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CE13A3">
        <w:rPr>
          <w:rFonts w:ascii="Segoe UI" w:hAnsi="Segoe UI" w:cs="Segoe UI"/>
          <w:b/>
          <w:bCs/>
        </w:rPr>
        <w:t xml:space="preserve">3. </w:t>
      </w:r>
      <w:r w:rsidRPr="00CE13A3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Указатели. Объявление указателей. Операции с указателями. Адресная арифметика. Преобразование указателей. Сравнение указателя на фундаментальный тип и указателя на класс.</w:t>
      </w:r>
    </w:p>
    <w:p w14:paraId="575E77AB" w14:textId="76A247F4" w:rsidR="00BB1D4E" w:rsidRDefault="00F30297" w:rsidP="00CE13A3">
      <w:pPr>
        <w:spacing w:after="0" w:line="264" w:lineRule="auto"/>
        <w:jc w:val="both"/>
      </w:pPr>
      <w:r w:rsidRPr="00CE13A3">
        <w:rPr>
          <w:b/>
          <w:bCs/>
          <w:highlight w:val="green"/>
        </w:rPr>
        <w:t>Указатель</w:t>
      </w:r>
      <w:r w:rsidRPr="00F30297">
        <w:t xml:space="preserve"> – переменная, значением которой является адрес ячейки памяти.</w:t>
      </w:r>
    </w:p>
    <w:p w14:paraId="2515EAC1" w14:textId="77777777" w:rsidR="00CE13A3" w:rsidRDefault="00CE13A3" w:rsidP="00CE13A3">
      <w:pPr>
        <w:spacing w:after="0" w:line="264" w:lineRule="auto"/>
        <w:jc w:val="both"/>
      </w:pPr>
    </w:p>
    <w:p w14:paraId="0E0153C5" w14:textId="77777777" w:rsidR="009B5150" w:rsidRDefault="00F30297" w:rsidP="009B5150">
      <w:pPr>
        <w:spacing w:after="0" w:line="264" w:lineRule="auto"/>
        <w:jc w:val="both"/>
      </w:pPr>
      <w:r w:rsidRPr="00CE13A3">
        <w:rPr>
          <w:b/>
          <w:bCs/>
          <w:highlight w:val="green"/>
        </w:rPr>
        <w:t>Объявление указателей</w:t>
      </w:r>
      <w:r w:rsidRPr="00F30297">
        <w:t xml:space="preserve"> </w:t>
      </w:r>
    </w:p>
    <w:p w14:paraId="25363845" w14:textId="5BB70DC0" w:rsidR="00F30297" w:rsidRDefault="009B5150" w:rsidP="009B5150">
      <w:pPr>
        <w:spacing w:after="0" w:line="264" w:lineRule="auto"/>
        <w:ind w:firstLine="709"/>
        <w:jc w:val="both"/>
      </w:pPr>
      <w:r>
        <w:t>П</w:t>
      </w:r>
      <w:r w:rsidR="00F30297" w:rsidRPr="00F30297">
        <w:t>роисходит с использованием символа звездочки (*) перед именем переменной</w:t>
      </w:r>
      <w:r w:rsidR="00F30297">
        <w:t>:</w:t>
      </w:r>
      <w:r w:rsidRPr="009B5150">
        <w:t xml:space="preserve"> </w:t>
      </w:r>
      <w:r w:rsidR="00A0623B">
        <w:rPr>
          <w:noProof/>
        </w:rPr>
        <w:drawing>
          <wp:inline distT="0" distB="0" distL="0" distR="0" wp14:anchorId="209E9CF2" wp14:editId="45E4259C">
            <wp:extent cx="701040" cy="221381"/>
            <wp:effectExtent l="0" t="0" r="3810" b="7620"/>
            <wp:docPr id="1756275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5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181" cy="2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0525" w14:textId="3300EBFC" w:rsidR="009B5150" w:rsidRDefault="002F6756" w:rsidP="009B5150">
      <w:pPr>
        <w:spacing w:after="0" w:line="264" w:lineRule="auto"/>
        <w:ind w:firstLine="709"/>
        <w:contextualSpacing/>
        <w:jc w:val="both"/>
      </w:pPr>
      <w:r>
        <w:t>Количество пробелов слева и справа от звёздочки значения не им</w:t>
      </w:r>
      <w:r w:rsidR="009B5150">
        <w:t>е</w:t>
      </w:r>
      <w:r>
        <w:t>ет</w:t>
      </w:r>
      <w:r w:rsidR="009B5150">
        <w:t>.</w:t>
      </w:r>
    </w:p>
    <w:p w14:paraId="20B3A9EF" w14:textId="00162D14" w:rsidR="002F6756" w:rsidRPr="009B5150" w:rsidRDefault="009B5150" w:rsidP="009B5150">
      <w:pPr>
        <w:spacing w:after="0" w:line="264" w:lineRule="auto"/>
        <w:contextualSpacing/>
        <w:jc w:val="center"/>
      </w:pPr>
      <w:r w:rsidRPr="009B5150">
        <w:t xml:space="preserve"> </w:t>
      </w:r>
      <w:r>
        <w:rPr>
          <w:noProof/>
        </w:rPr>
        <w:drawing>
          <wp:inline distT="0" distB="0" distL="0" distR="0" wp14:anchorId="3E5F0BA2" wp14:editId="0AD5492F">
            <wp:extent cx="911762" cy="582930"/>
            <wp:effectExtent l="0" t="0" r="3175" b="7620"/>
            <wp:docPr id="393018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8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795" cy="5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63B" w14:textId="5FCEA1B4" w:rsidR="00CE13A3" w:rsidRDefault="009B5150" w:rsidP="009B5150">
      <w:pPr>
        <w:spacing w:after="0" w:line="264" w:lineRule="auto"/>
        <w:ind w:firstLine="709"/>
        <w:contextualSpacing/>
        <w:jc w:val="both"/>
      </w:pPr>
      <w:r>
        <w:t>При объявлении нескольких сразу, звёздочку нужно ставить возле имени каждой переменной</w:t>
      </w:r>
    </w:p>
    <w:p w14:paraId="34F0450D" w14:textId="77777777" w:rsidR="009B5150" w:rsidRDefault="009B5150" w:rsidP="00CE13A3">
      <w:pPr>
        <w:spacing w:after="0" w:line="264" w:lineRule="auto"/>
        <w:contextualSpacing/>
        <w:jc w:val="center"/>
      </w:pPr>
    </w:p>
    <w:p w14:paraId="6563645D" w14:textId="64CB0A03" w:rsidR="00F30297" w:rsidRPr="00CE13A3" w:rsidRDefault="00F30297" w:rsidP="00CE13A3">
      <w:pPr>
        <w:spacing w:after="0" w:line="264" w:lineRule="auto"/>
        <w:jc w:val="both"/>
        <w:rPr>
          <w:b/>
          <w:bCs/>
        </w:rPr>
      </w:pPr>
      <w:r w:rsidRPr="00CE13A3">
        <w:rPr>
          <w:b/>
          <w:bCs/>
          <w:highlight w:val="green"/>
        </w:rPr>
        <w:t>Операции с указателями</w:t>
      </w:r>
      <w:r w:rsidRPr="00CE13A3">
        <w:rPr>
          <w:b/>
          <w:bCs/>
        </w:rPr>
        <w:t>:</w:t>
      </w:r>
    </w:p>
    <w:p w14:paraId="612A7F7B" w14:textId="084CC720" w:rsidR="00A0623B" w:rsidRPr="00CE13A3" w:rsidRDefault="00A0623B" w:rsidP="00CE13A3">
      <w:pPr>
        <w:pStyle w:val="a3"/>
        <w:numPr>
          <w:ilvl w:val="0"/>
          <w:numId w:val="7"/>
        </w:numPr>
        <w:spacing w:after="0" w:line="264" w:lineRule="auto"/>
        <w:jc w:val="both"/>
        <w:rPr>
          <w:lang w:val="en-US"/>
        </w:rPr>
      </w:pPr>
      <w:r w:rsidRPr="00CE13A3">
        <w:rPr>
          <w:b/>
          <w:bCs/>
        </w:rPr>
        <w:t>Присваивание адреса</w:t>
      </w:r>
      <w:r w:rsidRPr="00CE13A3">
        <w:rPr>
          <w:lang w:val="en-US"/>
        </w:rPr>
        <w:t>:</w:t>
      </w:r>
    </w:p>
    <w:p w14:paraId="5D1FD19D" w14:textId="77777777" w:rsidR="00CE13A3" w:rsidRDefault="00A0623B" w:rsidP="00CE13A3">
      <w:pPr>
        <w:spacing w:after="0" w:line="264" w:lineRule="auto"/>
        <w:ind w:firstLine="709"/>
        <w:contextualSpacing/>
        <w:jc w:val="both"/>
      </w:pPr>
      <w:r w:rsidRPr="00A0623B">
        <w:t xml:space="preserve">Указателю можно присвоить адрес объекта того же типа, либо значение другого указателя. </w:t>
      </w:r>
    </w:p>
    <w:p w14:paraId="09F21987" w14:textId="26531A2C" w:rsidR="00A0623B" w:rsidRPr="00CE13A3" w:rsidRDefault="00A0623B" w:rsidP="00CE13A3">
      <w:pPr>
        <w:spacing w:after="0" w:line="264" w:lineRule="auto"/>
        <w:ind w:firstLine="709"/>
        <w:contextualSpacing/>
        <w:jc w:val="both"/>
      </w:pPr>
      <w:r w:rsidRPr="00CE13A3">
        <w:t xml:space="preserve">Для получения адреса </w:t>
      </w:r>
      <w:r w:rsidR="00CE13A3">
        <w:t xml:space="preserve">переменной </w:t>
      </w:r>
      <w:r w:rsidRPr="00CE13A3">
        <w:t>используется</w:t>
      </w:r>
      <w:r w:rsidR="00CE13A3">
        <w:t xml:space="preserve"> оператор</w:t>
      </w:r>
      <w:r w:rsidRPr="00CE13A3">
        <w:t xml:space="preserve"> &amp;:</w:t>
      </w:r>
    </w:p>
    <w:p w14:paraId="34A927F4" w14:textId="438F1D1A" w:rsidR="0026385B" w:rsidRPr="00CE13A3" w:rsidRDefault="00A0623B" w:rsidP="00CE13A3">
      <w:pPr>
        <w:spacing w:after="0" w:line="264" w:lineRule="auto"/>
        <w:contextualSpacing/>
        <w:jc w:val="center"/>
      </w:pPr>
      <w:r>
        <w:rPr>
          <w:noProof/>
        </w:rPr>
        <w:drawing>
          <wp:inline distT="0" distB="0" distL="0" distR="0" wp14:anchorId="0FFFA34D" wp14:editId="5D288AED">
            <wp:extent cx="1447800" cy="495300"/>
            <wp:effectExtent l="0" t="0" r="0" b="0"/>
            <wp:docPr id="175784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1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3B">
        <w:rPr>
          <w:noProof/>
        </w:rPr>
        <w:t xml:space="preserve">     </w:t>
      </w:r>
      <w:r w:rsidR="008D3F3B">
        <w:rPr>
          <w:noProof/>
        </w:rPr>
        <w:drawing>
          <wp:inline distT="0" distB="0" distL="0" distR="0" wp14:anchorId="0655DA4D" wp14:editId="26A470B9">
            <wp:extent cx="1457325" cy="304800"/>
            <wp:effectExtent l="0" t="0" r="9525" b="0"/>
            <wp:docPr id="148731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A76" w14:textId="331A1832" w:rsidR="00F30297" w:rsidRDefault="00F30297" w:rsidP="00CE13A3">
      <w:pPr>
        <w:pStyle w:val="a3"/>
        <w:numPr>
          <w:ilvl w:val="0"/>
          <w:numId w:val="7"/>
        </w:numPr>
        <w:spacing w:after="0" w:line="264" w:lineRule="auto"/>
        <w:jc w:val="both"/>
      </w:pPr>
      <w:r w:rsidRPr="00CE13A3">
        <w:rPr>
          <w:b/>
          <w:bCs/>
        </w:rPr>
        <w:t>Разыменование</w:t>
      </w:r>
      <w:r>
        <w:t>:</w:t>
      </w:r>
    </w:p>
    <w:p w14:paraId="594E0600" w14:textId="0FF730B8" w:rsidR="00F30297" w:rsidRPr="00F30297" w:rsidRDefault="00F30297" w:rsidP="00CE13A3">
      <w:pPr>
        <w:spacing w:after="0" w:line="264" w:lineRule="auto"/>
        <w:contextualSpacing/>
        <w:jc w:val="both"/>
      </w:pPr>
      <w:r w:rsidRPr="00CE13A3">
        <w:rPr>
          <w:i/>
          <w:iCs/>
        </w:rPr>
        <w:t>*</w:t>
      </w:r>
      <w:proofErr w:type="spellStart"/>
      <w:r w:rsidRPr="00CE13A3">
        <w:rPr>
          <w:i/>
          <w:iCs/>
        </w:rPr>
        <w:t>имя_указателя</w:t>
      </w:r>
      <w:proofErr w:type="spellEnd"/>
      <w:r w:rsidRPr="00F30297">
        <w:t xml:space="preserve"> позволяет получить объект по адресу, который хранится в указателе.</w:t>
      </w:r>
    </w:p>
    <w:p w14:paraId="3D206EAB" w14:textId="3EAA9FA2" w:rsidR="00F30297" w:rsidRDefault="00A0623B" w:rsidP="00CE13A3">
      <w:pPr>
        <w:spacing w:after="0" w:line="264" w:lineRule="auto"/>
        <w:contextualSpacing/>
        <w:jc w:val="center"/>
      </w:pPr>
      <w:r>
        <w:rPr>
          <w:noProof/>
        </w:rPr>
        <w:drawing>
          <wp:inline distT="0" distB="0" distL="0" distR="0" wp14:anchorId="32BAD6F4" wp14:editId="44D524F5">
            <wp:extent cx="2705100" cy="1066800"/>
            <wp:effectExtent l="0" t="0" r="0" b="0"/>
            <wp:docPr id="899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F7B0" w14:textId="77777777" w:rsidR="002F6756" w:rsidRDefault="009F5347" w:rsidP="002F6756">
      <w:pPr>
        <w:pStyle w:val="a3"/>
        <w:numPr>
          <w:ilvl w:val="0"/>
          <w:numId w:val="7"/>
        </w:numPr>
        <w:spacing w:after="0" w:line="264" w:lineRule="auto"/>
        <w:rPr>
          <w:b/>
          <w:bCs/>
        </w:rPr>
      </w:pPr>
      <w:r w:rsidRPr="002F6756">
        <w:rPr>
          <w:b/>
          <w:bCs/>
        </w:rPr>
        <w:t>Логические операции</w:t>
      </w:r>
      <w:r w:rsidR="002F6756" w:rsidRPr="002F6756">
        <w:rPr>
          <w:b/>
          <w:bCs/>
        </w:rPr>
        <w:t xml:space="preserve">. </w:t>
      </w:r>
    </w:p>
    <w:p w14:paraId="73F9D43C" w14:textId="1B9B1147" w:rsidR="002F6756" w:rsidRPr="001C6AE7" w:rsidRDefault="002F6756" w:rsidP="008A7628">
      <w:pPr>
        <w:spacing w:after="0" w:line="264" w:lineRule="auto"/>
        <w:jc w:val="both"/>
        <w:rPr>
          <w:b/>
          <w:bCs/>
        </w:rPr>
      </w:pPr>
      <w:r>
        <w:t>При операциях сравнения (</w:t>
      </w:r>
      <w:r w:rsidRPr="002F6756">
        <w:t>==</w:t>
      </w:r>
      <w:proofErr w:type="gramStart"/>
      <w:r w:rsidR="001C6AE7">
        <w:t xml:space="preserve">, </w:t>
      </w:r>
      <w:r w:rsidR="001C6AE7" w:rsidRPr="002F6756">
        <w:t>!</w:t>
      </w:r>
      <w:proofErr w:type="gramEnd"/>
      <w:r w:rsidR="001C6AE7" w:rsidRPr="002F6756">
        <w:t>=</w:t>
      </w:r>
      <w:r w:rsidRPr="002F6756">
        <w:t xml:space="preserve">, &lt;, &gt; </w:t>
      </w:r>
      <w:r>
        <w:t xml:space="preserve">и т.д.) сравниваются </w:t>
      </w:r>
      <w:r w:rsidR="001C6AE7">
        <w:t>ссылки в указателе</w:t>
      </w:r>
    </w:p>
    <w:p w14:paraId="47430F47" w14:textId="77777777" w:rsidR="00CE13A3" w:rsidRPr="001C6AE7" w:rsidRDefault="00CE13A3" w:rsidP="00CE13A3">
      <w:pPr>
        <w:spacing w:after="0" w:line="264" w:lineRule="auto"/>
        <w:contextualSpacing/>
        <w:jc w:val="center"/>
      </w:pPr>
    </w:p>
    <w:p w14:paraId="54CD4F14" w14:textId="2C33597B" w:rsidR="00A0623B" w:rsidRPr="001C6AE7" w:rsidRDefault="00A0623B" w:rsidP="00CE13A3">
      <w:pPr>
        <w:spacing w:after="0" w:line="264" w:lineRule="auto"/>
        <w:jc w:val="both"/>
        <w:rPr>
          <w:b/>
          <w:bCs/>
        </w:rPr>
      </w:pPr>
      <w:r w:rsidRPr="00CE13A3">
        <w:rPr>
          <w:b/>
          <w:bCs/>
          <w:highlight w:val="green"/>
        </w:rPr>
        <w:t>Адресная арифметика</w:t>
      </w:r>
    </w:p>
    <w:p w14:paraId="54BDF1ED" w14:textId="77777777" w:rsidR="00CE13A3" w:rsidRDefault="00CE13A3" w:rsidP="00CE13A3">
      <w:pPr>
        <w:spacing w:after="0" w:line="264" w:lineRule="auto"/>
        <w:ind w:firstLine="709"/>
        <w:contextualSpacing/>
        <w:jc w:val="both"/>
      </w:pPr>
      <w:r>
        <w:t>При сложении и вычитании</w:t>
      </w:r>
      <w:r w:rsidR="0026385B">
        <w:t xml:space="preserve"> </w:t>
      </w:r>
      <w:r w:rsidR="008D3F3B">
        <w:t>адресу</w:t>
      </w:r>
      <w:r w:rsidRPr="00CE13A3">
        <w:t xml:space="preserve"> </w:t>
      </w:r>
      <w:r>
        <w:t>в</w:t>
      </w:r>
      <w:r w:rsidR="009717FC">
        <w:t xml:space="preserve"> </w:t>
      </w:r>
      <w:r w:rsidR="0026385B">
        <w:t>указател</w:t>
      </w:r>
      <w:r>
        <w:t xml:space="preserve">е </w:t>
      </w:r>
      <w:r w:rsidR="0026385B">
        <w:t>прибавляется</w:t>
      </w:r>
      <w:r w:rsidR="0026385B" w:rsidRPr="0026385B">
        <w:t>/</w:t>
      </w:r>
      <w:r w:rsidR="0026385B">
        <w:t xml:space="preserve">вычитается размер типа указателя. </w:t>
      </w:r>
      <w:r>
        <w:t xml:space="preserve"> </w:t>
      </w:r>
    </w:p>
    <w:p w14:paraId="6D19CAA3" w14:textId="653F9EDA" w:rsidR="0026385B" w:rsidRPr="00CE13A3" w:rsidRDefault="00CE13A3" w:rsidP="00CE13A3">
      <w:pPr>
        <w:spacing w:after="0" w:line="264" w:lineRule="auto"/>
        <w:ind w:firstLine="709"/>
        <w:contextualSpacing/>
        <w:jc w:val="both"/>
      </w:pPr>
      <w:r>
        <w:t>Например, е</w:t>
      </w:r>
      <w:r w:rsidR="0026385B">
        <w:t xml:space="preserve">сли указатель типа </w:t>
      </w:r>
      <w:r w:rsidR="0026385B" w:rsidRPr="0026385B">
        <w:rPr>
          <w:i/>
          <w:iCs/>
          <w:lang w:val="en-US"/>
        </w:rPr>
        <w:t>int</w:t>
      </w:r>
      <w:r w:rsidR="0026385B" w:rsidRPr="0026385B">
        <w:t xml:space="preserve">, </w:t>
      </w:r>
      <w:r w:rsidR="0026385B">
        <w:t xml:space="preserve">то при </w:t>
      </w:r>
      <w:r w:rsidR="0026385B" w:rsidRPr="0026385B">
        <w:rPr>
          <w:i/>
          <w:iCs/>
          <w:lang w:val="en-US"/>
        </w:rPr>
        <w:t>pointer</w:t>
      </w:r>
      <w:r w:rsidR="0026385B" w:rsidRPr="0026385B">
        <w:rPr>
          <w:i/>
          <w:iCs/>
        </w:rPr>
        <w:t>++</w:t>
      </w:r>
      <w:r w:rsidR="0026385B">
        <w:t xml:space="preserve"> к ссылке прибавится 4 байта, т.е. размер типа </w:t>
      </w:r>
      <w:r w:rsidR="0026385B">
        <w:rPr>
          <w:lang w:val="en-US"/>
        </w:rPr>
        <w:t>int</w:t>
      </w:r>
      <w:r w:rsidR="0026385B">
        <w:t>.</w:t>
      </w:r>
    </w:p>
    <w:p w14:paraId="2A7AAE1C" w14:textId="70AE03E1" w:rsidR="00CE13A3" w:rsidRDefault="00CE13A3" w:rsidP="00CE13A3">
      <w:pPr>
        <w:spacing w:after="0" w:line="264" w:lineRule="auto"/>
        <w:ind w:firstLine="709"/>
        <w:contextualSpacing/>
        <w:jc w:val="both"/>
      </w:pPr>
      <w:r>
        <w:t xml:space="preserve">Операции </w:t>
      </w:r>
      <w:r w:rsidRPr="00CE13A3">
        <w:t xml:space="preserve">* </w:t>
      </w:r>
      <w:r>
        <w:t xml:space="preserve">и </w:t>
      </w:r>
      <w:r w:rsidRPr="00CE13A3">
        <w:t xml:space="preserve">/ </w:t>
      </w:r>
      <w:r>
        <w:t>к указателям не применимы.</w:t>
      </w:r>
    </w:p>
    <w:p w14:paraId="1643EC62" w14:textId="77777777" w:rsidR="00CE13A3" w:rsidRPr="00CE13A3" w:rsidRDefault="00CE13A3" w:rsidP="00CE13A3">
      <w:pPr>
        <w:spacing w:after="0" w:line="264" w:lineRule="auto"/>
        <w:ind w:firstLine="709"/>
        <w:contextualSpacing/>
        <w:jc w:val="both"/>
      </w:pPr>
    </w:p>
    <w:p w14:paraId="3E705BE7" w14:textId="0DE3E67B" w:rsidR="004961D0" w:rsidRDefault="00CE13A3" w:rsidP="00CE13A3">
      <w:pPr>
        <w:spacing w:after="0" w:line="264" w:lineRule="auto"/>
        <w:contextualSpacing/>
        <w:jc w:val="both"/>
        <w:rPr>
          <w:b/>
          <w:bCs/>
        </w:rPr>
      </w:pPr>
      <w:r w:rsidRPr="00CE13A3">
        <w:rPr>
          <w:b/>
          <w:bCs/>
          <w:highlight w:val="green"/>
        </w:rPr>
        <w:t>Преобразование указателей</w:t>
      </w:r>
    </w:p>
    <w:p w14:paraId="317381AE" w14:textId="7262575B" w:rsidR="009B5150" w:rsidRDefault="009B5150" w:rsidP="00CE13A3">
      <w:pPr>
        <w:spacing w:after="0" w:line="264" w:lineRule="auto"/>
        <w:contextualSpacing/>
        <w:jc w:val="both"/>
      </w:pPr>
      <w:r>
        <w:t>Преобразование типа указателя можно сделать двумя способами:</w:t>
      </w:r>
    </w:p>
    <w:p w14:paraId="5CF17CCE" w14:textId="6E82B298" w:rsidR="009B5150" w:rsidRDefault="009B5150" w:rsidP="004133F1">
      <w:pPr>
        <w:spacing w:after="0" w:line="264" w:lineRule="auto"/>
        <w:contextualSpacing/>
        <w:jc w:val="center"/>
      </w:pPr>
      <w:r>
        <w:rPr>
          <w:noProof/>
        </w:rPr>
        <w:drawing>
          <wp:inline distT="0" distB="0" distL="0" distR="0" wp14:anchorId="270A6D3A" wp14:editId="560D1539">
            <wp:extent cx="914400" cy="466725"/>
            <wp:effectExtent l="0" t="0" r="0" b="9525"/>
            <wp:docPr id="175222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23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B1B" w14:textId="24BBEF90" w:rsidR="009B5150" w:rsidRPr="004133F1" w:rsidRDefault="009B5150" w:rsidP="009B5150">
      <w:pPr>
        <w:pStyle w:val="a3"/>
        <w:numPr>
          <w:ilvl w:val="0"/>
          <w:numId w:val="7"/>
        </w:numPr>
        <w:spacing w:after="0" w:line="264" w:lineRule="auto"/>
        <w:jc w:val="both"/>
      </w:pPr>
      <w:r>
        <w:t>В</w:t>
      </w:r>
      <w:r w:rsidRPr="004133F1">
        <w:t xml:space="preserve"> </w:t>
      </w:r>
      <w:r>
        <w:t>стиле</w:t>
      </w:r>
      <w:r w:rsidRPr="004133F1">
        <w:t xml:space="preserve"> </w:t>
      </w:r>
      <w:r>
        <w:rPr>
          <w:lang w:val="en-US"/>
        </w:rPr>
        <w:t>C</w:t>
      </w:r>
      <w:r w:rsidRPr="004133F1">
        <w:t>:</w:t>
      </w:r>
      <w:r w:rsidR="004133F1">
        <w:tab/>
      </w:r>
      <w:r w:rsidRPr="004133F1">
        <w:rPr>
          <w:highlight w:val="lightGray"/>
          <w:lang w:val="en-US"/>
        </w:rPr>
        <w:t>y</w:t>
      </w:r>
      <w:r w:rsidRPr="004133F1">
        <w:rPr>
          <w:highlight w:val="lightGray"/>
        </w:rPr>
        <w:t xml:space="preserve"> = (</w:t>
      </w:r>
      <w:r w:rsidRPr="004133F1">
        <w:rPr>
          <w:highlight w:val="lightGray"/>
          <w:lang w:val="en-US"/>
        </w:rPr>
        <w:t>int</w:t>
      </w:r>
      <w:r w:rsidRPr="004133F1">
        <w:rPr>
          <w:highlight w:val="lightGray"/>
        </w:rPr>
        <w:t xml:space="preserve">*) </w:t>
      </w:r>
      <w:r w:rsidR="004133F1" w:rsidRPr="004133F1">
        <w:rPr>
          <w:highlight w:val="lightGray"/>
          <w:lang w:val="en-US"/>
        </w:rPr>
        <w:t>x</w:t>
      </w:r>
      <w:r w:rsidR="004133F1" w:rsidRPr="004133F1">
        <w:rPr>
          <w:highlight w:val="lightGray"/>
        </w:rPr>
        <w:t>;</w:t>
      </w:r>
    </w:p>
    <w:p w14:paraId="7A6C66CC" w14:textId="58E22EB8" w:rsidR="009B5150" w:rsidRPr="009B5150" w:rsidRDefault="009B5150" w:rsidP="009B5150">
      <w:pPr>
        <w:pStyle w:val="a3"/>
        <w:numPr>
          <w:ilvl w:val="0"/>
          <w:numId w:val="7"/>
        </w:numPr>
        <w:spacing w:after="0" w:line="264" w:lineRule="auto"/>
        <w:jc w:val="both"/>
        <w:rPr>
          <w:lang w:val="en-US"/>
        </w:rPr>
      </w:pPr>
      <w:r>
        <w:t>В</w:t>
      </w:r>
      <w:r w:rsidRPr="009B5150">
        <w:rPr>
          <w:lang w:val="en-US"/>
        </w:rPr>
        <w:t xml:space="preserve"> </w:t>
      </w:r>
      <w:r>
        <w:t>стиле</w:t>
      </w:r>
      <w:r w:rsidRPr="009B5150">
        <w:rPr>
          <w:lang w:val="en-US"/>
        </w:rPr>
        <w:t xml:space="preserve"> </w:t>
      </w:r>
      <w:r>
        <w:rPr>
          <w:lang w:val="en-US"/>
        </w:rPr>
        <w:t>C</w:t>
      </w:r>
      <w:r w:rsidRPr="009B5150">
        <w:rPr>
          <w:lang w:val="en-US"/>
        </w:rPr>
        <w:t xml:space="preserve">++: </w:t>
      </w:r>
      <w:r w:rsidR="004133F1">
        <w:rPr>
          <w:lang w:val="en-US"/>
        </w:rPr>
        <w:tab/>
      </w:r>
      <w:r w:rsidRPr="004133F1">
        <w:rPr>
          <w:highlight w:val="lightGray"/>
          <w:lang w:val="en-US"/>
        </w:rPr>
        <w:t xml:space="preserve">y = </w:t>
      </w:r>
      <w:proofErr w:type="spellStart"/>
      <w:r w:rsidRPr="004133F1">
        <w:rPr>
          <w:highlight w:val="lightGray"/>
          <w:lang w:val="en-US"/>
        </w:rPr>
        <w:t>static_cast</w:t>
      </w:r>
      <w:proofErr w:type="spellEnd"/>
      <w:r w:rsidRPr="004133F1">
        <w:rPr>
          <w:highlight w:val="lightGray"/>
          <w:lang w:val="en-US"/>
        </w:rPr>
        <w:t>&lt;int*&gt; (x);</w:t>
      </w:r>
    </w:p>
    <w:p w14:paraId="0B6621AF" w14:textId="38EEF3C8" w:rsidR="002F6756" w:rsidRDefault="009B5150" w:rsidP="00CE13A3">
      <w:pPr>
        <w:spacing w:after="0" w:line="264" w:lineRule="auto"/>
        <w:contextualSpacing/>
        <w:jc w:val="both"/>
      </w:pPr>
      <w:r>
        <w:t xml:space="preserve">Преобразование указателя типа </w:t>
      </w:r>
      <w:r>
        <w:rPr>
          <w:lang w:val="en-US"/>
        </w:rPr>
        <w:t>A</w:t>
      </w:r>
      <w:r w:rsidRPr="009B5150">
        <w:t xml:space="preserve"> </w:t>
      </w:r>
      <w:r>
        <w:t xml:space="preserve">к указателю типа </w:t>
      </w:r>
      <w:r>
        <w:rPr>
          <w:lang w:val="en-US"/>
        </w:rPr>
        <w:t>B</w:t>
      </w:r>
      <w:r w:rsidRPr="009B5150">
        <w:t xml:space="preserve"> </w:t>
      </w:r>
      <w:r>
        <w:t>–</w:t>
      </w:r>
      <w:r w:rsidRPr="009B5150">
        <w:t xml:space="preserve"> </w:t>
      </w:r>
      <w:r>
        <w:t xml:space="preserve">небезопасная операция, поэтому неявно не выполняется. </w:t>
      </w:r>
    </w:p>
    <w:p w14:paraId="1102BE65" w14:textId="241BEB16" w:rsidR="004133F1" w:rsidRPr="001C6AE7" w:rsidRDefault="004133F1" w:rsidP="00CE13A3">
      <w:pPr>
        <w:spacing w:after="0" w:line="264" w:lineRule="auto"/>
        <w:contextualSpacing/>
        <w:jc w:val="both"/>
      </w:pPr>
      <w:r>
        <w:t>Преобразование типа не изменяет хранимый адрес в указателе</w:t>
      </w:r>
    </w:p>
    <w:p w14:paraId="3FACE57F" w14:textId="77777777" w:rsidR="009B5150" w:rsidRPr="009B5150" w:rsidRDefault="009B5150" w:rsidP="009B5150">
      <w:pPr>
        <w:tabs>
          <w:tab w:val="left" w:pos="3828"/>
        </w:tabs>
        <w:spacing w:after="0" w:line="264" w:lineRule="auto"/>
        <w:contextualSpacing/>
        <w:jc w:val="both"/>
      </w:pPr>
    </w:p>
    <w:p w14:paraId="69AD5931" w14:textId="201214A0" w:rsidR="00CE13A3" w:rsidRDefault="00CE13A3" w:rsidP="00CE13A3">
      <w:pPr>
        <w:spacing w:after="0" w:line="264" w:lineRule="auto"/>
        <w:contextualSpacing/>
        <w:jc w:val="both"/>
        <w:rPr>
          <w:b/>
          <w:bCs/>
        </w:rPr>
      </w:pPr>
      <w:r w:rsidRPr="00CE13A3">
        <w:rPr>
          <w:b/>
          <w:bCs/>
          <w:highlight w:val="green"/>
        </w:rPr>
        <w:t>Сравнение указателя на фундаментальный тип и указателя на класс.</w:t>
      </w:r>
    </w:p>
    <w:p w14:paraId="5B881465" w14:textId="15742112" w:rsidR="004133F1" w:rsidRPr="008A7628" w:rsidRDefault="004133F1" w:rsidP="00CE13A3">
      <w:pPr>
        <w:spacing w:after="0" w:line="264" w:lineRule="auto"/>
        <w:contextualSpacing/>
        <w:jc w:val="both"/>
      </w:pPr>
    </w:p>
    <w:sectPr w:rsidR="004133F1" w:rsidRPr="008A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B11"/>
    <w:multiLevelType w:val="multilevel"/>
    <w:tmpl w:val="96A2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234DC"/>
    <w:multiLevelType w:val="hybridMultilevel"/>
    <w:tmpl w:val="048CAF5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65CCE"/>
    <w:multiLevelType w:val="multilevel"/>
    <w:tmpl w:val="2AFC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A4172"/>
    <w:multiLevelType w:val="hybridMultilevel"/>
    <w:tmpl w:val="83AC00F0"/>
    <w:lvl w:ilvl="0" w:tplc="E7EA7E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73732"/>
    <w:multiLevelType w:val="hybridMultilevel"/>
    <w:tmpl w:val="DB46C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15314"/>
    <w:multiLevelType w:val="hybridMultilevel"/>
    <w:tmpl w:val="B0AC4452"/>
    <w:lvl w:ilvl="0" w:tplc="2550C40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AB264A4"/>
    <w:multiLevelType w:val="multilevel"/>
    <w:tmpl w:val="83DA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088788">
    <w:abstractNumId w:val="2"/>
  </w:num>
  <w:num w:numId="2" w16cid:durableId="1922832611">
    <w:abstractNumId w:val="3"/>
  </w:num>
  <w:num w:numId="3" w16cid:durableId="1208227436">
    <w:abstractNumId w:val="0"/>
  </w:num>
  <w:num w:numId="4" w16cid:durableId="711731618">
    <w:abstractNumId w:val="4"/>
  </w:num>
  <w:num w:numId="5" w16cid:durableId="888489919">
    <w:abstractNumId w:val="6"/>
  </w:num>
  <w:num w:numId="6" w16cid:durableId="373432061">
    <w:abstractNumId w:val="1"/>
  </w:num>
  <w:num w:numId="7" w16cid:durableId="613557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83"/>
    <w:rsid w:val="000B29FE"/>
    <w:rsid w:val="00183DF9"/>
    <w:rsid w:val="001C6AE7"/>
    <w:rsid w:val="001D086B"/>
    <w:rsid w:val="00204E83"/>
    <w:rsid w:val="0026385B"/>
    <w:rsid w:val="002F6756"/>
    <w:rsid w:val="004133F1"/>
    <w:rsid w:val="004961D0"/>
    <w:rsid w:val="005A428C"/>
    <w:rsid w:val="006243B5"/>
    <w:rsid w:val="00895509"/>
    <w:rsid w:val="008A7628"/>
    <w:rsid w:val="008C480F"/>
    <w:rsid w:val="008D0004"/>
    <w:rsid w:val="008D3F3B"/>
    <w:rsid w:val="009717FC"/>
    <w:rsid w:val="009961AB"/>
    <w:rsid w:val="009B5150"/>
    <w:rsid w:val="009F5347"/>
    <w:rsid w:val="00A0623B"/>
    <w:rsid w:val="00B73148"/>
    <w:rsid w:val="00BB1D4E"/>
    <w:rsid w:val="00CE13A3"/>
    <w:rsid w:val="00F3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F217"/>
  <w15:chartTrackingRefBased/>
  <w15:docId w15:val="{E709972A-D1A9-4CAB-A1F0-AD1FB9DF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29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A4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3BC6-5E1C-44DC-90D6-3EE8C692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12</cp:revision>
  <dcterms:created xsi:type="dcterms:W3CDTF">2023-06-25T11:53:00Z</dcterms:created>
  <dcterms:modified xsi:type="dcterms:W3CDTF">2023-07-02T18:18:00Z</dcterms:modified>
</cp:coreProperties>
</file>