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FAIR Principles — — —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Findable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 Metadata &amp; Documentation: Ensure datasets are properly documented with clear descriptions ("NBA Player Statistics 2023" and "NBA Player Bios 2022-23"). 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- Constant Identifiers: Use stable URLs ( Kaggle dataset DOI or NBA.com’s official stats page). 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 Searchable Keywords: Tag datasets with relevant terms ( "NBA," "basketball analytics," "player performance").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Accessible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Open Access: The Kaggle dataset is publicly available, while NBA.com’s data may have usage restrictions (check terms of service). 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 Authentication if Needed: If NBA.com requires API keys, document access procedures.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Interoperable 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Standardized Formats: Use CSV/JSON for compatibility. 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Common Variables: Merge datasets using player IDs/names for cross-analysis (e.g., linking stats to bios). 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Clear Units: Define metrics (height in cm/ft, 3P% as a decimal).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Reusable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- Licensing: Kaggle datasets often have CC licenses; NBA.com data may require attribution. 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 Methodology Transparency: Document how performance metrics ("best players") are calculated.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CARE Principles — — —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Collective Benefit 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- Community Insights: Share findings to benefit teams, players, and fans ( how draft position correlates with success). 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 Avoid Harm: Ensure analysis doesn’t reinforce biases (stereotyping players by physical attributes).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Authority to Control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 Player Consent: Acknowledge that player data is public but avoid misuse (invasive predictions about health). 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Respect NBA Policies: Follow league guidelines on data usage.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Responsibility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 Bias Mitigation: Check if conclusions favor certain demographics (does "best schools" overlook international players?). 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- Transparency: Disclose limitations (stats don’t capture leadership intangibles).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Ethics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 Privacy: Anonymization isn’t needed for public stats, but avoid combining data to infer private details. 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- Fair Representation: Ensure diverse player backgrounds (country, college) are analyzed equitably.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