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3E574" w14:textId="320AF87F" w:rsidR="00174805" w:rsidRPr="00174805" w:rsidRDefault="00174805">
      <w:pPr>
        <w:rPr>
          <w:b/>
          <w:bCs/>
          <w:lang w:val="en-US"/>
        </w:rPr>
      </w:pPr>
      <w:r w:rsidRPr="00174805">
        <w:rPr>
          <w:b/>
          <w:bCs/>
          <w:lang w:val="en-US"/>
        </w:rPr>
        <w:t>Plan: (applying the PCIP system)</w:t>
      </w:r>
    </w:p>
    <w:p w14:paraId="2C17A6EB" w14:textId="77777777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Before beginning the analysis, we outlined the following research questions:</w:t>
      </w:r>
    </w:p>
    <w:p w14:paraId="226B4C55" w14:textId="77777777" w:rsidR="00174805" w:rsidRPr="00174805" w:rsidRDefault="00174805" w:rsidP="0017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Does the number of Walmart stores in each U.S. state correlate with state-level GDP?</w:t>
      </w:r>
    </w:p>
    <w:p w14:paraId="095C0CE2" w14:textId="77777777" w:rsidR="00174805" w:rsidRPr="00174805" w:rsidRDefault="00174805" w:rsidP="0017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What patterns emerge in GDP per store across different regions?</w:t>
      </w:r>
    </w:p>
    <w:p w14:paraId="2B66EFD4" w14:textId="77777777" w:rsidR="00174805" w:rsidRPr="00174805" w:rsidRDefault="00174805" w:rsidP="0017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Are there outliers that challenge the assumption that higher GDP equals more Walmart stores?</w:t>
      </w:r>
    </w:p>
    <w:p w14:paraId="270B548F" w14:textId="77777777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We identified two datasets:</w:t>
      </w:r>
    </w:p>
    <w:p w14:paraId="78B7C2CB" w14:textId="77777777" w:rsidR="00174805" w:rsidRPr="00174805" w:rsidRDefault="00174805" w:rsidP="00174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Walmart’s official open dataset of store locations.</w:t>
      </w:r>
    </w:p>
    <w:p w14:paraId="3CB8E593" w14:textId="77777777" w:rsidR="00174805" w:rsidRPr="00174805" w:rsidRDefault="00174805" w:rsidP="00174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State-level GDP data from the U.S. Bureau of Economic Analysis.</w:t>
      </w:r>
    </w:p>
    <w:p w14:paraId="1C4C0D99" w14:textId="1E719243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We planned to clean, join, and visualize these datasets usin</w:t>
      </w:r>
      <w:r w:rsidR="00141852">
        <w:rPr>
          <w:rFonts w:ascii="Times New Roman" w:eastAsia="Times New Roman" w:hAnsi="Times New Roman" w:cs="Times New Roman"/>
          <w:kern w:val="0"/>
          <w14:ligatures w14:val="none"/>
        </w:rPr>
        <w:t xml:space="preserve">g R </w:t>
      </w: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and Quarto, with all steps documented in a reproducibl</w:t>
      </w:r>
      <w:r w:rsidR="00141852">
        <w:rPr>
          <w:rFonts w:ascii="Times New Roman" w:eastAsia="Times New Roman" w:hAnsi="Times New Roman" w:cs="Times New Roman"/>
          <w:kern w:val="0"/>
          <w14:ligatures w14:val="none"/>
        </w:rPr>
        <w:t xml:space="preserve">e </w:t>
      </w: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file.</w:t>
      </w:r>
    </w:p>
    <w:p w14:paraId="2CB26E37" w14:textId="77777777" w:rsidR="00174805" w:rsidRPr="00174805" w:rsidRDefault="00174805" w:rsidP="0017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</w:p>
    <w:p w14:paraId="543B0055" w14:textId="77777777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Code was written in modular sections with clear comments. Each block focuses on a single task: importing data, cleaning it, merging datasets, generating plots, or calculating correlation statistics.</w:t>
      </w:r>
    </w:p>
    <w:p w14:paraId="76889A3D" w14:textId="77777777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All code was structured with:</w:t>
      </w:r>
    </w:p>
    <w:p w14:paraId="088E2C48" w14:textId="330D742D" w:rsidR="00174805" w:rsidRPr="00141852" w:rsidRDefault="00174805" w:rsidP="00174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852">
        <w:rPr>
          <w:rFonts w:ascii="Times New Roman" w:eastAsia="Times New Roman" w:hAnsi="Times New Roman" w:cs="Times New Roman"/>
          <w:kern w:val="0"/>
          <w14:ligatures w14:val="none"/>
        </w:rPr>
        <w:t>Clear chunk labels for traceability.</w:t>
      </w:r>
    </w:p>
    <w:p w14:paraId="514586AB" w14:textId="77777777" w:rsidR="00174805" w:rsidRPr="00174805" w:rsidRDefault="00174805" w:rsidP="00174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852">
        <w:rPr>
          <w:rFonts w:ascii="Times New Roman" w:eastAsia="Times New Roman" w:hAnsi="Times New Roman" w:cs="Times New Roman"/>
          <w:kern w:val="0"/>
          <w14:ligatures w14:val="none"/>
        </w:rPr>
        <w:t>Reusability in mind (avoiding hardcoded paths</w:t>
      </w:r>
      <w:r w:rsidRPr="00174805">
        <w:rPr>
          <w:rFonts w:ascii="Times New Roman" w:eastAsia="Times New Roman" w:hAnsi="Times New Roman" w:cs="Times New Roman"/>
          <w:kern w:val="0"/>
          <w14:ligatures w14:val="none"/>
        </w:rPr>
        <w:t xml:space="preserve"> and maintaining reproducible formats).</w:t>
      </w:r>
    </w:p>
    <w:p w14:paraId="734C3705" w14:textId="77777777" w:rsidR="00174805" w:rsidRPr="00174805" w:rsidRDefault="00174805" w:rsidP="0017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</w:t>
      </w:r>
    </w:p>
    <w:p w14:paraId="4DE7A00B" w14:textId="77777777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We interpreted output using statistical reasoning (e.g., a Pearson correlation coefficient of 0.75) and visualization techniques (e.g., dual-axis bar chart, scatter plot with labeled outliers). Outliers such as New York and California were noted and explained in terms of regional and strategic retail differences.</w:t>
      </w:r>
    </w:p>
    <w:p w14:paraId="49F3AF1F" w14:textId="77777777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Interpretation was directly embedded below each visualization, using EPT techniques such as comparison, emphasis, and spatial encoding to guide understanding.</w:t>
      </w:r>
    </w:p>
    <w:p w14:paraId="24920C09" w14:textId="77777777" w:rsidR="00174805" w:rsidRPr="00174805" w:rsidRDefault="00174805" w:rsidP="0017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</w:t>
      </w:r>
    </w:p>
    <w:p w14:paraId="11E46B98" w14:textId="77777777" w:rsidR="00174805" w:rsidRPr="00174805" w:rsidRDefault="00174805" w:rsidP="0017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The final analysis was presented as a structured Quarto report with:</w:t>
      </w:r>
    </w:p>
    <w:p w14:paraId="03007426" w14:textId="77777777" w:rsidR="00174805" w:rsidRPr="00174805" w:rsidRDefault="00174805" w:rsidP="0017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Clean sectioning (Intro, Data, FAIR/CARE, Visuals, Conclusion, Appendix)</w:t>
      </w:r>
    </w:p>
    <w:p w14:paraId="437485AF" w14:textId="77777777" w:rsidR="00174805" w:rsidRPr="00174805" w:rsidRDefault="00174805" w:rsidP="0017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Hidden code in the main body and full visibility in the appendix</w:t>
      </w:r>
    </w:p>
    <w:p w14:paraId="68396709" w14:textId="77777777" w:rsidR="00174805" w:rsidRPr="00174805" w:rsidRDefault="00174805" w:rsidP="0017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4805">
        <w:rPr>
          <w:rFonts w:ascii="Times New Roman" w:eastAsia="Times New Roman" w:hAnsi="Times New Roman" w:cs="Times New Roman"/>
          <w:kern w:val="0"/>
          <w14:ligatures w14:val="none"/>
        </w:rPr>
        <w:t>All visual outputs supported by text-based interpretation and external context</w:t>
      </w:r>
    </w:p>
    <w:p w14:paraId="1B8E8CC1" w14:textId="77777777" w:rsidR="00174805" w:rsidRPr="00174805" w:rsidRDefault="00174805"/>
    <w:sectPr w:rsidR="00174805" w:rsidRPr="00174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029F"/>
    <w:multiLevelType w:val="multilevel"/>
    <w:tmpl w:val="80A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02B4B"/>
    <w:multiLevelType w:val="multilevel"/>
    <w:tmpl w:val="20B4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B3B2E"/>
    <w:multiLevelType w:val="multilevel"/>
    <w:tmpl w:val="349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4069F"/>
    <w:multiLevelType w:val="multilevel"/>
    <w:tmpl w:val="5C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501969">
    <w:abstractNumId w:val="2"/>
  </w:num>
  <w:num w:numId="2" w16cid:durableId="1350984490">
    <w:abstractNumId w:val="1"/>
  </w:num>
  <w:num w:numId="3" w16cid:durableId="1204054536">
    <w:abstractNumId w:val="0"/>
  </w:num>
  <w:num w:numId="4" w16cid:durableId="36928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5"/>
    <w:rsid w:val="00141852"/>
    <w:rsid w:val="00174805"/>
    <w:rsid w:val="00B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4320"/>
  <w15:chartTrackingRefBased/>
  <w15:docId w15:val="{A8C31E87-3F62-314D-ADD7-D4112BFB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4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48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4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1520</Characters>
  <Application>Microsoft Office Word</Application>
  <DocSecurity>0</DocSecurity>
  <Lines>26</Lines>
  <Paragraphs>12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Qianhui</dc:creator>
  <cp:keywords/>
  <dc:description/>
  <cp:lastModifiedBy>Dai, Qianhui</cp:lastModifiedBy>
  <cp:revision>2</cp:revision>
  <dcterms:created xsi:type="dcterms:W3CDTF">2025-05-02T16:22:00Z</dcterms:created>
  <dcterms:modified xsi:type="dcterms:W3CDTF">2025-05-02T16:25:00Z</dcterms:modified>
</cp:coreProperties>
</file>