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4DE4" w14:textId="4E91145E" w:rsidR="008E4997" w:rsidRPr="00AD583A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A13C11">
        <w:trPr>
          <w:trHeight w:val="316"/>
        </w:trPr>
        <w:tc>
          <w:tcPr>
            <w:tcW w:w="684" w:type="pct"/>
            <w:tcBorders>
              <w:top w:val="single" w:sz="8" w:space="0" w:color="auto"/>
              <w:bottom w:val="single" w:sz="4" w:space="0" w:color="auto"/>
            </w:tcBorders>
          </w:tcPr>
          <w:p w14:paraId="10669B56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bookmarkStart w:id="0" w:name="_Hlk23764714"/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Frequency </w:t>
            </w:r>
          </w:p>
        </w:tc>
        <w:tc>
          <w:tcPr>
            <w:tcW w:w="572" w:type="pct"/>
            <w:tcBorders>
              <w:top w:val="single" w:sz="8" w:space="0" w:color="auto"/>
              <w:bottom w:val="single" w:sz="4" w:space="0" w:color="auto"/>
            </w:tcBorders>
          </w:tcPr>
          <w:p w14:paraId="4B61EC03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Micro</w:t>
            </w:r>
          </w:p>
        </w:tc>
        <w:tc>
          <w:tcPr>
            <w:tcW w:w="594" w:type="pct"/>
            <w:tcBorders>
              <w:top w:val="single" w:sz="8" w:space="0" w:color="auto"/>
              <w:bottom w:val="single" w:sz="4" w:space="0" w:color="auto"/>
            </w:tcBorders>
          </w:tcPr>
          <w:p w14:paraId="06A80AA8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Industry</w:t>
            </w:r>
          </w:p>
        </w:tc>
        <w:tc>
          <w:tcPr>
            <w:tcW w:w="573" w:type="pct"/>
            <w:tcBorders>
              <w:top w:val="single" w:sz="8" w:space="0" w:color="auto"/>
              <w:bottom w:val="single" w:sz="4" w:space="0" w:color="auto"/>
            </w:tcBorders>
          </w:tcPr>
          <w:p w14:paraId="77AD8128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Macro</w:t>
            </w:r>
          </w:p>
        </w:tc>
        <w:tc>
          <w:tcPr>
            <w:tcW w:w="587" w:type="pct"/>
            <w:tcBorders>
              <w:top w:val="single" w:sz="8" w:space="0" w:color="auto"/>
              <w:bottom w:val="single" w:sz="4" w:space="0" w:color="auto"/>
            </w:tcBorders>
          </w:tcPr>
          <w:p w14:paraId="5640C93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Finance</w:t>
            </w:r>
          </w:p>
        </w:tc>
        <w:tc>
          <w:tcPr>
            <w:tcW w:w="839" w:type="pct"/>
            <w:tcBorders>
              <w:top w:val="single" w:sz="8" w:space="0" w:color="auto"/>
              <w:bottom w:val="single" w:sz="4" w:space="0" w:color="auto"/>
            </w:tcBorders>
          </w:tcPr>
          <w:p w14:paraId="0E748CE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Demographic</w:t>
            </w:r>
          </w:p>
        </w:tc>
        <w:tc>
          <w:tcPr>
            <w:tcW w:w="563" w:type="pct"/>
            <w:tcBorders>
              <w:top w:val="single" w:sz="8" w:space="0" w:color="auto"/>
              <w:bottom w:val="single" w:sz="4" w:space="0" w:color="auto"/>
            </w:tcBorders>
          </w:tcPr>
          <w:p w14:paraId="284EB47E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Other</w:t>
            </w:r>
          </w:p>
        </w:tc>
        <w:tc>
          <w:tcPr>
            <w:tcW w:w="587" w:type="pct"/>
            <w:tcBorders>
              <w:top w:val="single" w:sz="8" w:space="0" w:color="auto"/>
              <w:bottom w:val="single" w:sz="4" w:space="0" w:color="auto"/>
            </w:tcBorders>
          </w:tcPr>
          <w:p w14:paraId="6E6F0430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Total</w:t>
            </w:r>
          </w:p>
        </w:tc>
      </w:tr>
      <w:tr w:rsidR="0070489D" w14:paraId="118B26A3" w14:textId="77777777" w:rsidTr="00A13C11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23,000</w:t>
            </w:r>
          </w:p>
        </w:tc>
      </w:tr>
      <w:tr w:rsidR="0070489D" w14:paraId="330DA00C" w14:textId="77777777" w:rsidTr="00A13C11">
        <w:trPr>
          <w:trHeight w:val="331"/>
        </w:trPr>
        <w:tc>
          <w:tcPr>
            <w:tcW w:w="684" w:type="pct"/>
          </w:tcPr>
          <w:p w14:paraId="2255F91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24,000</w:t>
            </w:r>
          </w:p>
        </w:tc>
      </w:tr>
      <w:tr w:rsidR="0070489D" w14:paraId="524B9C00" w14:textId="77777777" w:rsidTr="00A13C11">
        <w:trPr>
          <w:trHeight w:val="316"/>
        </w:trPr>
        <w:tc>
          <w:tcPr>
            <w:tcW w:w="684" w:type="pct"/>
          </w:tcPr>
          <w:p w14:paraId="2CC1ADE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48,000</w:t>
            </w:r>
          </w:p>
        </w:tc>
      </w:tr>
      <w:tr w:rsidR="0070489D" w14:paraId="5CA76D77" w14:textId="77777777" w:rsidTr="00A13C11">
        <w:trPr>
          <w:trHeight w:val="316"/>
        </w:trPr>
        <w:tc>
          <w:tcPr>
            <w:tcW w:w="684" w:type="pct"/>
          </w:tcPr>
          <w:p w14:paraId="39AC998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359</w:t>
            </w:r>
          </w:p>
        </w:tc>
      </w:tr>
      <w:tr w:rsidR="0070489D" w14:paraId="13B998F3" w14:textId="77777777" w:rsidTr="00A13C11">
        <w:trPr>
          <w:trHeight w:val="316"/>
        </w:trPr>
        <w:tc>
          <w:tcPr>
            <w:tcW w:w="684" w:type="pct"/>
          </w:tcPr>
          <w:p w14:paraId="1E1F67B1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4227</w:t>
            </w:r>
          </w:p>
        </w:tc>
      </w:tr>
      <w:tr w:rsidR="0070489D" w14:paraId="1F8225D8" w14:textId="77777777" w:rsidTr="00A13C11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414</w:t>
            </w:r>
          </w:p>
        </w:tc>
      </w:tr>
      <w:tr w:rsidR="0070489D" w14:paraId="03E238D7" w14:textId="77777777" w:rsidTr="00A13C11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single" w:sz="8" w:space="0" w:color="auto"/>
            </w:tcBorders>
          </w:tcPr>
          <w:p w14:paraId="5EF28737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8" w:space="0" w:color="auto"/>
            </w:tcBorders>
          </w:tcPr>
          <w:p w14:paraId="193A2838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single" w:sz="8" w:space="0" w:color="auto"/>
            </w:tcBorders>
          </w:tcPr>
          <w:p w14:paraId="67259AA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8" w:space="0" w:color="auto"/>
            </w:tcBorders>
          </w:tcPr>
          <w:p w14:paraId="28AAB5E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8" w:space="0" w:color="auto"/>
            </w:tcBorders>
          </w:tcPr>
          <w:p w14:paraId="3810884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8" w:space="0" w:color="auto"/>
            </w:tcBorders>
          </w:tcPr>
          <w:p w14:paraId="6D49CCB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8" w:space="0" w:color="auto"/>
            </w:tcBorders>
          </w:tcPr>
          <w:p w14:paraId="433F3AA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8" w:space="0" w:color="auto"/>
            </w:tcBorders>
          </w:tcPr>
          <w:p w14:paraId="6BBB1A0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100,000</w:t>
            </w:r>
          </w:p>
        </w:tc>
      </w:tr>
      <w:bookmarkEnd w:id="0"/>
    </w:tbl>
    <w:p w14:paraId="6426CA59" w14:textId="1E7EB7DE" w:rsidR="00A13C11" w:rsidRDefault="00A13C11">
      <w:pPr>
        <w:rPr>
          <w:rFonts w:ascii="LMRoman12-Regular" w:hAnsi="LMRoman12-Regular"/>
          <w:b/>
          <w:bCs/>
        </w:rPr>
      </w:pPr>
    </w:p>
    <w:p w14:paraId="34BD726E" w14:textId="540F25B7" w:rsidR="00BF4273" w:rsidRDefault="00BF427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>Benchmark methods overview: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6143"/>
        <w:gridCol w:w="2112"/>
      </w:tblGrid>
      <w:tr w:rsidR="00BF4273" w14:paraId="0B5FAD0C" w14:textId="77777777" w:rsidTr="00A13C11">
        <w:trPr>
          <w:trHeight w:val="291"/>
          <w:jc w:val="center"/>
        </w:trPr>
        <w:tc>
          <w:tcPr>
            <w:tcW w:w="543" w:type="pct"/>
            <w:tcBorders>
              <w:top w:val="single" w:sz="8" w:space="0" w:color="auto"/>
              <w:bottom w:val="single" w:sz="4" w:space="0" w:color="auto"/>
            </w:tcBorders>
          </w:tcPr>
          <w:p w14:paraId="62DC1A83" w14:textId="3FFA867C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b/>
                <w:sz w:val="20"/>
                <w:szCs w:val="20"/>
              </w:rPr>
            </w:pPr>
            <w:bookmarkStart w:id="1" w:name="_Hlk28460958"/>
            <w:r w:rsidRPr="00B956C0">
              <w:rPr>
                <w:rFonts w:ascii="LMRoman12-Regular" w:hAnsi="LMRoman12-Regular"/>
                <w:b/>
                <w:sz w:val="20"/>
                <w:szCs w:val="20"/>
              </w:rPr>
              <w:t>Method</w:t>
            </w:r>
            <w:r w:rsidR="00B956C0" w:rsidRPr="00B956C0">
              <w:rPr>
                <w:rFonts w:ascii="LMRoman12-Regular" w:hAnsi="LMRoman12-Regular"/>
                <w:b/>
                <w:sz w:val="20"/>
                <w:szCs w:val="20"/>
              </w:rPr>
              <w:t>s</w:t>
            </w:r>
          </w:p>
        </w:tc>
        <w:tc>
          <w:tcPr>
            <w:tcW w:w="3300" w:type="pct"/>
            <w:tcBorders>
              <w:top w:val="single" w:sz="8" w:space="0" w:color="auto"/>
              <w:bottom w:val="single" w:sz="4" w:space="0" w:color="auto"/>
            </w:tcBorders>
          </w:tcPr>
          <w:p w14:paraId="30F1F7D8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b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b/>
                <w:sz w:val="20"/>
                <w:szCs w:val="20"/>
              </w:rPr>
              <w:t>Description</w:t>
            </w:r>
          </w:p>
        </w:tc>
        <w:tc>
          <w:tcPr>
            <w:tcW w:w="1157" w:type="pct"/>
            <w:tcBorders>
              <w:top w:val="single" w:sz="8" w:space="0" w:color="auto"/>
              <w:bottom w:val="single" w:sz="4" w:space="0" w:color="auto"/>
            </w:tcBorders>
          </w:tcPr>
          <w:p w14:paraId="4DBDF4A8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b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b/>
                <w:sz w:val="20"/>
                <w:szCs w:val="20"/>
              </w:rPr>
              <w:t>Type</w:t>
            </w:r>
          </w:p>
        </w:tc>
      </w:tr>
      <w:tr w:rsidR="00BF4273" w14:paraId="5ACCAD33" w14:textId="77777777" w:rsidTr="00B35F6F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07E5AEE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3A7357CB" w14:textId="0E19AD4C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Seasonally adjusted naïve forecast using </w:t>
            </w:r>
            <w:r w:rsidR="00740925" w:rsidRPr="00B956C0">
              <w:rPr>
                <w:rFonts w:ascii="LMRoman12-Regular" w:hAnsi="LMRoman12-Regular"/>
                <w:sz w:val="20"/>
                <w:szCs w:val="20"/>
              </w:rPr>
              <w:t xml:space="preserve">a 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>multiplicative decomposition.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75FBDFFC" w14:textId="1A9625EA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M4 Benchmark</w:t>
            </w:r>
            <w:r w:rsidR="00A82D98">
              <w:rPr>
                <w:rFonts w:ascii="LMRoman12-Regular" w:hAnsi="LMRoman12-Regular"/>
                <w:sz w:val="20"/>
                <w:szCs w:val="20"/>
              </w:rPr>
              <w:t xml:space="preserve"> u</w:t>
            </w:r>
            <w:r w:rsidR="00B956C0">
              <w:rPr>
                <w:rFonts w:ascii="LMRoman12-Regular" w:hAnsi="LMRoman12-Regular"/>
                <w:sz w:val="20"/>
                <w:szCs w:val="20"/>
              </w:rPr>
              <w:t>sed to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 </w:t>
            </w:r>
            <w:r w:rsidR="00B956C0">
              <w:rPr>
                <w:rFonts w:ascii="LMRoman12-Regular" w:hAnsi="LMRoman12-Regular"/>
                <w:sz w:val="20"/>
                <w:szCs w:val="20"/>
              </w:rPr>
              <w:t>s</w:t>
            </w:r>
            <w:r w:rsidR="00AD583A" w:rsidRPr="00B956C0">
              <w:rPr>
                <w:rFonts w:ascii="LMRoman12-Regular" w:hAnsi="LMRoman12-Regular"/>
                <w:sz w:val="20"/>
                <w:szCs w:val="20"/>
              </w:rPr>
              <w:t>cal</w:t>
            </w:r>
            <w:r w:rsidR="00B956C0">
              <w:rPr>
                <w:rFonts w:ascii="LMRoman12-Regular" w:hAnsi="LMRoman12-Regular"/>
                <w:sz w:val="20"/>
                <w:szCs w:val="20"/>
              </w:rPr>
              <w:t>e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 OWA.</w:t>
            </w:r>
          </w:p>
        </w:tc>
      </w:tr>
      <w:tr w:rsidR="00BF4273" w14:paraId="0FD950D8" w14:textId="77777777" w:rsidTr="00B35F6F">
        <w:trPr>
          <w:trHeight w:val="291"/>
          <w:jc w:val="center"/>
        </w:trPr>
        <w:tc>
          <w:tcPr>
            <w:tcW w:w="543" w:type="pct"/>
          </w:tcPr>
          <w:p w14:paraId="791D51AB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Comb</w:t>
            </w:r>
          </w:p>
        </w:tc>
        <w:tc>
          <w:tcPr>
            <w:tcW w:w="3300" w:type="pct"/>
          </w:tcPr>
          <w:p w14:paraId="74D30CA5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Combination benchmark consisting of three forecasts: SES, Holt, Damped exponential smoothing. Combined using the arithmetic average of the three methods.</w:t>
            </w:r>
          </w:p>
        </w:tc>
        <w:tc>
          <w:tcPr>
            <w:tcW w:w="1157" w:type="pct"/>
          </w:tcPr>
          <w:p w14:paraId="5F991C23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M4 Benchmark</w:t>
            </w:r>
          </w:p>
        </w:tc>
      </w:tr>
      <w:tr w:rsidR="00BF4273" w14:paraId="63146124" w14:textId="77777777" w:rsidTr="00B35F6F">
        <w:trPr>
          <w:trHeight w:val="278"/>
          <w:jc w:val="center"/>
        </w:trPr>
        <w:tc>
          <w:tcPr>
            <w:tcW w:w="543" w:type="pct"/>
          </w:tcPr>
          <w:p w14:paraId="1EFF380D" w14:textId="4ABFA774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L</w:t>
            </w:r>
            <w:r w:rsidR="00F555ED" w:rsidRPr="00B956C0">
              <w:rPr>
                <w:rFonts w:ascii="LMRoman12-Regular" w:hAnsi="LMRoman12-Regular"/>
                <w:sz w:val="20"/>
                <w:szCs w:val="20"/>
              </w:rPr>
              <w:t>&amp;K</w:t>
            </w:r>
          </w:p>
        </w:tc>
        <w:tc>
          <w:tcPr>
            <w:tcW w:w="3300" w:type="pct"/>
          </w:tcPr>
          <w:p w14:paraId="40160C6F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28E7E3A1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M4 Competition method (Rank 8)</w:t>
            </w:r>
          </w:p>
        </w:tc>
      </w:tr>
      <w:tr w:rsidR="00BF4273" w14:paraId="5A67E892" w14:textId="77777777" w:rsidTr="00B35F6F">
        <w:trPr>
          <w:trHeight w:val="278"/>
          <w:jc w:val="center"/>
        </w:trPr>
        <w:tc>
          <w:tcPr>
            <w:tcW w:w="543" w:type="pct"/>
          </w:tcPr>
          <w:p w14:paraId="1FDF9120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ARIMA</w:t>
            </w:r>
          </w:p>
        </w:tc>
        <w:tc>
          <w:tcPr>
            <w:tcW w:w="3300" w:type="pct"/>
          </w:tcPr>
          <w:p w14:paraId="5ECF3371" w14:textId="0A216926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Automatic ARIMA </w:t>
            </w:r>
            <w:r w:rsidR="00AD583A" w:rsidRPr="00B956C0">
              <w:rPr>
                <w:rFonts w:ascii="LMRoman12-Regular" w:hAnsi="LMRoman12-Regular"/>
                <w:sz w:val="20"/>
                <w:szCs w:val="20"/>
              </w:rPr>
              <w:t>framework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 based on information criteria.</w:t>
            </w:r>
          </w:p>
        </w:tc>
        <w:tc>
          <w:tcPr>
            <w:tcW w:w="1157" w:type="pct"/>
          </w:tcPr>
          <w:p w14:paraId="4DF56671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Comparison benchmark</w:t>
            </w:r>
          </w:p>
        </w:tc>
      </w:tr>
      <w:tr w:rsidR="00BF4273" w14:paraId="015705ED" w14:textId="77777777" w:rsidTr="00A13C11">
        <w:trPr>
          <w:trHeight w:val="291"/>
          <w:jc w:val="center"/>
        </w:trPr>
        <w:tc>
          <w:tcPr>
            <w:tcW w:w="543" w:type="pct"/>
            <w:tcBorders>
              <w:bottom w:val="nil"/>
            </w:tcBorders>
          </w:tcPr>
          <w:p w14:paraId="5F521BFA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ETS</w:t>
            </w:r>
          </w:p>
        </w:tc>
        <w:tc>
          <w:tcPr>
            <w:tcW w:w="3300" w:type="pct"/>
            <w:tcBorders>
              <w:bottom w:val="nil"/>
            </w:tcBorders>
          </w:tcPr>
          <w:p w14:paraId="6C083815" w14:textId="22E740F9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 xml:space="preserve">Automatic exponential smoothing </w:t>
            </w:r>
            <w:r w:rsidR="00AD583A" w:rsidRPr="00B956C0">
              <w:rPr>
                <w:rFonts w:ascii="LMRoman12-Regular" w:hAnsi="LMRoman12-Regular"/>
                <w:sz w:val="20"/>
                <w:szCs w:val="20"/>
              </w:rPr>
              <w:t xml:space="preserve">state space 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>model</w:t>
            </w:r>
            <w:r w:rsidR="00AD583A" w:rsidRPr="00B956C0">
              <w:rPr>
                <w:rFonts w:ascii="LMRoman12-Regular" w:hAnsi="LMRoman12-Regular"/>
                <w:sz w:val="20"/>
                <w:szCs w:val="20"/>
              </w:rPr>
              <w:t xml:space="preserve"> </w:t>
            </w:r>
            <w:r w:rsidRPr="00B956C0">
              <w:rPr>
                <w:rFonts w:ascii="LMRoman12-Regular" w:hAnsi="LMRoman12-Regular"/>
                <w:sz w:val="20"/>
                <w:szCs w:val="20"/>
              </w:rPr>
              <w:t>based on information criteria.</w:t>
            </w:r>
          </w:p>
        </w:tc>
        <w:tc>
          <w:tcPr>
            <w:tcW w:w="1157" w:type="pct"/>
            <w:tcBorders>
              <w:bottom w:val="nil"/>
            </w:tcBorders>
          </w:tcPr>
          <w:p w14:paraId="125C7DE9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Comparison benchmark</w:t>
            </w:r>
          </w:p>
        </w:tc>
      </w:tr>
      <w:tr w:rsidR="00BF4273" w14:paraId="2F4A4740" w14:textId="77777777" w:rsidTr="00A13C11">
        <w:trPr>
          <w:trHeight w:val="291"/>
          <w:jc w:val="center"/>
        </w:trPr>
        <w:tc>
          <w:tcPr>
            <w:tcW w:w="543" w:type="pct"/>
            <w:tcBorders>
              <w:top w:val="nil"/>
              <w:bottom w:val="single" w:sz="8" w:space="0" w:color="auto"/>
            </w:tcBorders>
          </w:tcPr>
          <w:p w14:paraId="028B0402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ETSARIMA</w:t>
            </w:r>
          </w:p>
        </w:tc>
        <w:tc>
          <w:tcPr>
            <w:tcW w:w="3300" w:type="pct"/>
            <w:tcBorders>
              <w:top w:val="nil"/>
              <w:bottom w:val="single" w:sz="8" w:space="0" w:color="auto"/>
            </w:tcBorders>
          </w:tcPr>
          <w:p w14:paraId="2A2568F7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Arithmetic average of ETS and ARIMA forecasts.</w:t>
            </w:r>
          </w:p>
        </w:tc>
        <w:tc>
          <w:tcPr>
            <w:tcW w:w="1157" w:type="pct"/>
            <w:tcBorders>
              <w:top w:val="nil"/>
              <w:bottom w:val="single" w:sz="8" w:space="0" w:color="auto"/>
            </w:tcBorders>
          </w:tcPr>
          <w:p w14:paraId="78389F75" w14:textId="77777777" w:rsidR="00BF4273" w:rsidRPr="00B956C0" w:rsidRDefault="00BF4273" w:rsidP="00740925">
            <w:pPr>
              <w:spacing w:line="276" w:lineRule="auto"/>
              <w:rPr>
                <w:rFonts w:ascii="LMRoman12-Regular" w:hAnsi="LMRoman12-Regular"/>
                <w:sz w:val="20"/>
                <w:szCs w:val="20"/>
              </w:rPr>
            </w:pPr>
            <w:r w:rsidRPr="00B956C0">
              <w:rPr>
                <w:rFonts w:ascii="LMRoman12-Regular" w:hAnsi="LMRoman12-Regular"/>
                <w:sz w:val="20"/>
                <w:szCs w:val="20"/>
              </w:rPr>
              <w:t>Comparison benchmark</w:t>
            </w:r>
          </w:p>
        </w:tc>
      </w:tr>
      <w:bookmarkEnd w:id="1"/>
    </w:tbl>
    <w:p w14:paraId="3D0900CB" w14:textId="39E9DC2C" w:rsidR="0070489D" w:rsidRDefault="0070489D">
      <w:pPr>
        <w:rPr>
          <w:rFonts w:ascii="LMRoman12-Regular" w:hAnsi="LMRoman12-Regular"/>
          <w:b/>
          <w:bCs/>
        </w:rPr>
      </w:pPr>
    </w:p>
    <w:p w14:paraId="5BB04937" w14:textId="3808567F" w:rsidR="00B956C0" w:rsidRDefault="00B956C0">
      <w:pPr>
        <w:rPr>
          <w:rFonts w:ascii="LMRoman12-Regular" w:hAnsi="LMRoman12-Regular"/>
          <w:b/>
          <w:bCs/>
        </w:rPr>
      </w:pPr>
    </w:p>
    <w:p w14:paraId="4C25C7D5" w14:textId="46C76CB5" w:rsidR="00620391" w:rsidRDefault="00620391">
      <w:pPr>
        <w:rPr>
          <w:rFonts w:ascii="LMRoman12-Regular" w:hAnsi="LMRoman12-Regular"/>
          <w:b/>
          <w:bCs/>
        </w:rPr>
      </w:pPr>
    </w:p>
    <w:p w14:paraId="0A9ECA9C" w14:textId="33866BBB" w:rsidR="00A250F2" w:rsidRDefault="00A250F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6D248608" w14:textId="11A88FBC" w:rsidR="00157203" w:rsidRDefault="00735FCB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>RNN methods generation</w:t>
      </w:r>
      <w:r w:rsidR="00157203">
        <w:rPr>
          <w:rFonts w:ascii="LMRoman12-Regular" w:hAnsi="LMRoman12-Regular"/>
          <w:b/>
          <w:bCs/>
        </w:rPr>
        <w:t xml:space="preserve">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482"/>
        <w:gridCol w:w="1844"/>
        <w:gridCol w:w="4727"/>
      </w:tblGrid>
      <w:tr w:rsidR="00735FCB" w14:paraId="2858DABD" w14:textId="5077BE63" w:rsidTr="00256F83">
        <w:trPr>
          <w:trHeight w:val="291"/>
          <w:jc w:val="center"/>
        </w:trPr>
        <w:tc>
          <w:tcPr>
            <w:tcW w:w="71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3A06498B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Generation</w:t>
            </w:r>
          </w:p>
        </w:tc>
        <w:tc>
          <w:tcPr>
            <w:tcW w:w="788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E40362F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98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210388C4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Local/Global</w:t>
            </w:r>
          </w:p>
        </w:tc>
        <w:tc>
          <w:tcPr>
            <w:tcW w:w="25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CCFB1FC" w14:textId="4C5D15E8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  <w:r w:rsidR="00690F13">
              <w:rPr>
                <w:rFonts w:ascii="LMRoman12-Regular" w:hAnsi="LMRoman12-Regular"/>
                <w:b/>
              </w:rPr>
              <w:t xml:space="preserve"> / Issues</w:t>
            </w:r>
          </w:p>
        </w:tc>
      </w:tr>
      <w:tr w:rsidR="00735FCB" w14:paraId="4840A5F5" w14:textId="66EBD81A" w:rsidTr="004D741C">
        <w:trPr>
          <w:trHeight w:val="278"/>
          <w:jc w:val="center"/>
        </w:trPr>
        <w:tc>
          <w:tcPr>
            <w:tcW w:w="719" w:type="pct"/>
            <w:tcBorders>
              <w:top w:val="single" w:sz="4" w:space="0" w:color="auto"/>
              <w:bottom w:val="nil"/>
            </w:tcBorders>
          </w:tcPr>
          <w:p w14:paraId="73CC549B" w14:textId="667B2912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Zero</w:t>
            </w:r>
          </w:p>
        </w:tc>
        <w:tc>
          <w:tcPr>
            <w:tcW w:w="788" w:type="pct"/>
            <w:tcBorders>
              <w:top w:val="single" w:sz="4" w:space="0" w:color="auto"/>
              <w:bottom w:val="nil"/>
            </w:tcBorders>
          </w:tcPr>
          <w:p w14:paraId="00D6B73F" w14:textId="25C5F76A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Simple RNN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5E939AE" w14:textId="1B5BAF17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</w:t>
            </w:r>
            <w:r w:rsidR="00A250F2">
              <w:rPr>
                <w:rFonts w:ascii="LMRoman12-Regular" w:hAnsi="LMRoman12-Regular"/>
              </w:rPr>
              <w:t xml:space="preserve"> RNN with short “memory”.</w:t>
            </w:r>
          </w:p>
        </w:tc>
        <w:tc>
          <w:tcPr>
            <w:tcW w:w="2513" w:type="pct"/>
            <w:tcBorders>
              <w:top w:val="single" w:sz="4" w:space="0" w:color="auto"/>
              <w:bottom w:val="nil"/>
            </w:tcBorders>
          </w:tcPr>
          <w:p w14:paraId="00CE493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553AC502" w14:textId="77777777" w:rsidTr="004D741C">
        <w:trPr>
          <w:trHeight w:val="278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7094E233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1AB6AC26" w14:textId="76155E9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RNN (LSTM, GRU cells)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6CF6FDC0" w14:textId="386EE734" w:rsidR="00735FCB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Local RNN with 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5A71A7A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58B5EA0" w14:textId="04DABE49" w:rsidTr="004D741C">
        <w:trPr>
          <w:trHeight w:val="291"/>
          <w:jc w:val="center"/>
        </w:trPr>
        <w:tc>
          <w:tcPr>
            <w:tcW w:w="719" w:type="pct"/>
            <w:tcBorders>
              <w:top w:val="single" w:sz="4" w:space="0" w:color="auto"/>
            </w:tcBorders>
          </w:tcPr>
          <w:p w14:paraId="732B7913" w14:textId="1E07CD5F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First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14:paraId="65D0C7BC" w14:textId="3DAE7704" w:rsidR="00735FCB" w:rsidRPr="0070489D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237AC49F" w14:textId="0D5D7FF4" w:rsidR="00735FCB" w:rsidRPr="0070489D" w:rsidRDefault="00C6169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</w:t>
            </w:r>
            <w:r w:rsidR="004D741C">
              <w:rPr>
                <w:rFonts w:ascii="LMRoman12-Regular" w:hAnsi="LMRoman12-Regular"/>
              </w:rPr>
              <w:t>; Uses autoregressive features to capture seasonality</w:t>
            </w:r>
          </w:p>
        </w:tc>
        <w:tc>
          <w:tcPr>
            <w:tcW w:w="2513" w:type="pct"/>
            <w:tcBorders>
              <w:top w:val="single" w:sz="4" w:space="0" w:color="auto"/>
            </w:tcBorders>
          </w:tcPr>
          <w:p w14:paraId="56C2B60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4D741C" w14:paraId="1FB9C0AB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7F395AD9" w14:textId="77777777" w:rsidR="004D741C" w:rsidRDefault="004D741C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65F3709" w14:textId="71BAD568" w:rsidR="004D741C" w:rsidRDefault="004D741C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980" w:type="pct"/>
            <w:tcBorders>
              <w:top w:val="nil"/>
            </w:tcBorders>
          </w:tcPr>
          <w:p w14:paraId="1DCF2605" w14:textId="133D51D5" w:rsidR="004D741C" w:rsidRPr="0070489D" w:rsidRDefault="004D741C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Same as </w:t>
            </w: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 xml:space="preserve"> but uses series-specific dummies to “recognize” individual series.</w:t>
            </w:r>
          </w:p>
        </w:tc>
        <w:tc>
          <w:tcPr>
            <w:tcW w:w="2513" w:type="pct"/>
            <w:tcBorders>
              <w:top w:val="nil"/>
            </w:tcBorders>
          </w:tcPr>
          <w:p w14:paraId="2EF247D0" w14:textId="77777777" w:rsidR="004D741C" w:rsidRPr="0070489D" w:rsidRDefault="004D741C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FC29284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44106AB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44DBFAC7" w14:textId="51F58DC1" w:rsidR="00735FCB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6307285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4BA6241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68883E4E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3BD045D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55D0DBE" w14:textId="2BA28853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980" w:type="pct"/>
            <w:tcBorders>
              <w:top w:val="nil"/>
            </w:tcBorders>
          </w:tcPr>
          <w:p w14:paraId="6DE5276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B26BF5E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3BB20F6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nil"/>
            </w:tcBorders>
          </w:tcPr>
          <w:p w14:paraId="17311D5B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nil"/>
            </w:tcBorders>
          </w:tcPr>
          <w:p w14:paraId="523FDA24" w14:textId="36A1D68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76A07140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  <w:bottom w:val="nil"/>
            </w:tcBorders>
          </w:tcPr>
          <w:p w14:paraId="0425A86D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A250F2" w14:paraId="1483678F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53B57F2A" w14:textId="77777777" w:rsidR="00A250F2" w:rsidRDefault="00A250F2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74DC5834" w14:textId="4A524BE8" w:rsidR="00A250F2" w:rsidRDefault="00A250F2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4430BCF3" w14:textId="13AC0B85" w:rsidR="00A250F2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Hybrid of global RNN and local ES.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1CCD8C13" w14:textId="77777777" w:rsidR="00A250F2" w:rsidRPr="0070489D" w:rsidRDefault="00A250F2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7E1D2941" w14:textId="06CF43FD" w:rsidTr="004D741C">
        <w:trPr>
          <w:trHeight w:val="291"/>
          <w:jc w:val="center"/>
        </w:trPr>
        <w:tc>
          <w:tcPr>
            <w:tcW w:w="719" w:type="pct"/>
            <w:tcBorders>
              <w:top w:val="single" w:sz="4" w:space="0" w:color="auto"/>
            </w:tcBorders>
          </w:tcPr>
          <w:p w14:paraId="01B85A73" w14:textId="5707C873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Second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14:paraId="18729079" w14:textId="3202AA12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11BB76E1" w14:textId="4BC04FDC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single" w:sz="4" w:space="0" w:color="auto"/>
            </w:tcBorders>
          </w:tcPr>
          <w:p w14:paraId="586FEFAA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E57E6DE" w14:textId="77777777" w:rsidTr="00256F83">
        <w:trPr>
          <w:trHeight w:val="291"/>
          <w:jc w:val="center"/>
        </w:trPr>
        <w:tc>
          <w:tcPr>
            <w:tcW w:w="719" w:type="pct"/>
            <w:tcBorders>
              <w:bottom w:val="thickThinSmallGap" w:sz="24" w:space="0" w:color="auto"/>
            </w:tcBorders>
          </w:tcPr>
          <w:p w14:paraId="6ED09C6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bottom w:val="thickThinSmallGap" w:sz="24" w:space="0" w:color="auto"/>
            </w:tcBorders>
          </w:tcPr>
          <w:p w14:paraId="540E3726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bottom w:val="thickThinSmallGap" w:sz="24" w:space="0" w:color="auto"/>
            </w:tcBorders>
          </w:tcPr>
          <w:p w14:paraId="40668B24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bottom w:val="thickThinSmallGap" w:sz="24" w:space="0" w:color="auto"/>
            </w:tcBorders>
          </w:tcPr>
          <w:p w14:paraId="38F4B1DB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</w:tbl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2F266100" w14:textId="77777777" w:rsidR="00682139" w:rsidRDefault="00682139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45B8F212" w14:textId="706FD658" w:rsidR="00B5243F" w:rsidRPr="005C50B2" w:rsidRDefault="00690F13" w:rsidP="00D4532B">
      <w:pPr>
        <w:rPr>
          <w:rFonts w:ascii="LMRoman12-Regular" w:hAnsi="LMRoman12-Regular"/>
          <w:b/>
        </w:rPr>
      </w:pPr>
      <w:r w:rsidRPr="00690F13">
        <w:rPr>
          <w:rFonts w:ascii="LMRoman12-Regular" w:hAnsi="LMRoman12-Regular"/>
          <w:b/>
        </w:rPr>
        <w:t>Computational Complexity</w:t>
      </w:r>
      <w:r>
        <w:rPr>
          <w:rFonts w:ascii="LMRoman12-Regular" w:hAnsi="LMRoman12-Regular"/>
          <w:b/>
        </w:rPr>
        <w:t>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7"/>
        <w:gridCol w:w="1340"/>
        <w:gridCol w:w="1338"/>
        <w:gridCol w:w="1356"/>
        <w:gridCol w:w="1338"/>
        <w:gridCol w:w="1362"/>
      </w:tblGrid>
      <w:tr w:rsidR="005C50B2" w14:paraId="6E894C7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3A51E1C" w14:textId="18E5A3B5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A5AF8A3" w14:textId="6C1F9F63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OWA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08107D1" w14:textId="71CB9689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proofErr w:type="spellStart"/>
            <w:r>
              <w:rPr>
                <w:rFonts w:ascii="LMRoman12-Regular" w:hAnsi="LMRoman12-Regular"/>
                <w:b/>
              </w:rPr>
              <w:t>sMAPE</w:t>
            </w:r>
            <w:proofErr w:type="spellEnd"/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5A948" w14:textId="0D9D3632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MASE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2B77944" w14:textId="5CCEFB6A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Rank / Type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4D1E006" w14:textId="57D6C1B9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Software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70BE628" w14:textId="0D7EF1C5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Complexity vs. Naïve2</w:t>
            </w:r>
          </w:p>
        </w:tc>
      </w:tr>
      <w:tr w:rsidR="005C50B2" w14:paraId="73191153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single" w:sz="4" w:space="0" w:color="auto"/>
              <w:bottom w:val="nil"/>
            </w:tcBorders>
          </w:tcPr>
          <w:p w14:paraId="244688EF" w14:textId="11FBFAC4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6F8951B5" w14:textId="12D38EF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0.821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40FFF24B" w14:textId="5412782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0.114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5FF0D4D" w14:textId="0807396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1.536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785FCBB2" w14:textId="1688249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A0D73EE" w14:textId="4C93293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C++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14AE0596" w14:textId="628C43A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8056.0</w:t>
            </w:r>
          </w:p>
        </w:tc>
      </w:tr>
      <w:tr w:rsidR="005C50B2" w14:paraId="587878E1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nil"/>
              <w:bottom w:val="nil"/>
            </w:tcBorders>
          </w:tcPr>
          <w:p w14:paraId="23BA8215" w14:textId="6E189EA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Montero-</w:t>
            </w:r>
            <w:proofErr w:type="spellStart"/>
            <w:r w:rsidRPr="005C50B2">
              <w:rPr>
                <w:rFonts w:ascii="LMRoman12-Regular" w:hAnsi="LMRoman12-Regular"/>
              </w:rPr>
              <w:t>Manso</w:t>
            </w:r>
            <w:proofErr w:type="spellEnd"/>
            <w:r w:rsidRPr="005C50B2">
              <w:rPr>
                <w:rFonts w:ascii="LMRoman12-Regular" w:hAnsi="LMRoman12-Regular"/>
              </w:rPr>
              <w:t>, et al.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4F21EE94" w14:textId="24EC99F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0.838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451D2CE1" w14:textId="06C4826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0.117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B4F97FF" w14:textId="2D2EAA2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1.551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0B4F2B54" w14:textId="7FEF859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7DF1E436" w14:textId="44A235D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786C677" w14:textId="312545C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46108.3</w:t>
            </w:r>
          </w:p>
        </w:tc>
      </w:tr>
      <w:tr w:rsidR="005C50B2" w14:paraId="13AA5ADC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20C22BAD" w14:textId="5CB7801E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Legaki</w:t>
            </w:r>
            <w:proofErr w:type="spellEnd"/>
            <w:r w:rsidRPr="005C50B2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5C50B2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714" w:type="pct"/>
            <w:tcBorders>
              <w:top w:val="nil"/>
            </w:tcBorders>
          </w:tcPr>
          <w:p w14:paraId="6C2D15DE" w14:textId="1D8B79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0.861</w:t>
            </w:r>
          </w:p>
        </w:tc>
        <w:tc>
          <w:tcPr>
            <w:tcW w:w="715" w:type="pct"/>
            <w:tcBorders>
              <w:top w:val="nil"/>
            </w:tcBorders>
          </w:tcPr>
          <w:p w14:paraId="541260D1" w14:textId="2D32013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0.119</w:t>
            </w:r>
          </w:p>
        </w:tc>
        <w:tc>
          <w:tcPr>
            <w:tcW w:w="714" w:type="pct"/>
            <w:tcBorders>
              <w:top w:val="nil"/>
            </w:tcBorders>
          </w:tcPr>
          <w:p w14:paraId="60190B04" w14:textId="7BF2F38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1.601</w:t>
            </w:r>
          </w:p>
        </w:tc>
        <w:tc>
          <w:tcPr>
            <w:tcW w:w="715" w:type="pct"/>
            <w:tcBorders>
              <w:top w:val="nil"/>
            </w:tcBorders>
          </w:tcPr>
          <w:p w14:paraId="2008A874" w14:textId="22E51D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</w:t>
            </w:r>
          </w:p>
        </w:tc>
        <w:tc>
          <w:tcPr>
            <w:tcW w:w="714" w:type="pct"/>
            <w:tcBorders>
              <w:top w:val="nil"/>
            </w:tcBorders>
          </w:tcPr>
          <w:p w14:paraId="2723AD2D" w14:textId="1DF979A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3BC8712B" w14:textId="43CCE96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25.0</w:t>
            </w:r>
          </w:p>
        </w:tc>
      </w:tr>
      <w:tr w:rsidR="005C50B2" w14:paraId="4CFAF885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69FEA1D1" w14:textId="0379FF4A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Naïve 2</w:t>
            </w:r>
          </w:p>
        </w:tc>
        <w:tc>
          <w:tcPr>
            <w:tcW w:w="714" w:type="pct"/>
            <w:tcBorders>
              <w:top w:val="nil"/>
            </w:tcBorders>
          </w:tcPr>
          <w:p w14:paraId="6892C28A" w14:textId="4E3789A8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1.000</w:t>
            </w:r>
          </w:p>
        </w:tc>
        <w:tc>
          <w:tcPr>
            <w:tcW w:w="715" w:type="pct"/>
            <w:tcBorders>
              <w:top w:val="nil"/>
            </w:tcBorders>
          </w:tcPr>
          <w:p w14:paraId="613E0C63" w14:textId="26EA8403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0,136</w:t>
            </w:r>
          </w:p>
        </w:tc>
        <w:tc>
          <w:tcPr>
            <w:tcW w:w="714" w:type="pct"/>
            <w:tcBorders>
              <w:top w:val="nil"/>
            </w:tcBorders>
          </w:tcPr>
          <w:p w14:paraId="246E0D28" w14:textId="4ABE54FC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1.912</w:t>
            </w:r>
          </w:p>
        </w:tc>
        <w:tc>
          <w:tcPr>
            <w:tcW w:w="715" w:type="pct"/>
            <w:tcBorders>
              <w:top w:val="nil"/>
            </w:tcBorders>
          </w:tcPr>
          <w:p w14:paraId="2CFB6D2E" w14:textId="51903676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449859A6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top w:val="nil"/>
            </w:tcBorders>
          </w:tcPr>
          <w:p w14:paraId="23B40A47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</w:tr>
      <w:tr w:rsidR="005C50B2" w14:paraId="4E02DF4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096C7467" w14:textId="2546E19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Comb</w:t>
            </w:r>
          </w:p>
        </w:tc>
        <w:tc>
          <w:tcPr>
            <w:tcW w:w="714" w:type="pct"/>
            <w:tcBorders>
              <w:top w:val="nil"/>
            </w:tcBorders>
          </w:tcPr>
          <w:p w14:paraId="386E56CF" w14:textId="5DD4582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0.898</w:t>
            </w:r>
          </w:p>
        </w:tc>
        <w:tc>
          <w:tcPr>
            <w:tcW w:w="715" w:type="pct"/>
            <w:tcBorders>
              <w:top w:val="nil"/>
            </w:tcBorders>
          </w:tcPr>
          <w:p w14:paraId="20BA5C07" w14:textId="55C3948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0.125</w:t>
            </w:r>
          </w:p>
        </w:tc>
        <w:tc>
          <w:tcPr>
            <w:tcW w:w="714" w:type="pct"/>
            <w:tcBorders>
              <w:top w:val="nil"/>
            </w:tcBorders>
          </w:tcPr>
          <w:p w14:paraId="28692C65" w14:textId="25342BF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1.663</w:t>
            </w:r>
          </w:p>
        </w:tc>
        <w:tc>
          <w:tcPr>
            <w:tcW w:w="715" w:type="pct"/>
            <w:tcBorders>
              <w:top w:val="nil"/>
            </w:tcBorders>
          </w:tcPr>
          <w:p w14:paraId="4FFB3CF3" w14:textId="39A4E44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7C3C4A1A" w14:textId="06BC42F3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65D8ECD7" w14:textId="1EB7622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33.2</w:t>
            </w:r>
          </w:p>
        </w:tc>
      </w:tr>
      <w:tr w:rsidR="005C50B2" w14:paraId="65F4B56E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5F3B90B6" w14:textId="78EE092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ARIMA</w:t>
            </w:r>
          </w:p>
        </w:tc>
        <w:tc>
          <w:tcPr>
            <w:tcW w:w="714" w:type="pct"/>
            <w:tcBorders>
              <w:top w:val="nil"/>
            </w:tcBorders>
          </w:tcPr>
          <w:p w14:paraId="6BE172AC" w14:textId="68A13C91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0.903</w:t>
            </w:r>
          </w:p>
        </w:tc>
        <w:tc>
          <w:tcPr>
            <w:tcW w:w="715" w:type="pct"/>
            <w:tcBorders>
              <w:top w:val="nil"/>
            </w:tcBorders>
          </w:tcPr>
          <w:p w14:paraId="0B2B76A1" w14:textId="118BC98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1D72B02B" w14:textId="379810AC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1.666</w:t>
            </w:r>
          </w:p>
        </w:tc>
        <w:tc>
          <w:tcPr>
            <w:tcW w:w="715" w:type="pct"/>
            <w:tcBorders>
              <w:top w:val="nil"/>
            </w:tcBorders>
          </w:tcPr>
          <w:p w14:paraId="562D311F" w14:textId="50D7EA10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33D4F8C8" w14:textId="7F612A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53DD2581" w14:textId="2FF3B78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3030.9</w:t>
            </w:r>
          </w:p>
        </w:tc>
      </w:tr>
      <w:tr w:rsidR="005C50B2" w14:paraId="18923368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77E1288E" w14:textId="3423C9B6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</w:t>
            </w:r>
          </w:p>
        </w:tc>
        <w:tc>
          <w:tcPr>
            <w:tcW w:w="714" w:type="pct"/>
            <w:tcBorders>
              <w:top w:val="nil"/>
            </w:tcBorders>
          </w:tcPr>
          <w:p w14:paraId="6ACDF8B4" w14:textId="657ACCE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0.908</w:t>
            </w:r>
          </w:p>
        </w:tc>
        <w:tc>
          <w:tcPr>
            <w:tcW w:w="715" w:type="pct"/>
            <w:tcBorders>
              <w:top w:val="nil"/>
            </w:tcBorders>
          </w:tcPr>
          <w:p w14:paraId="13DDC97F" w14:textId="2314610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3E87D4FE" w14:textId="73EC7AE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1.680</w:t>
            </w:r>
          </w:p>
        </w:tc>
        <w:tc>
          <w:tcPr>
            <w:tcW w:w="715" w:type="pct"/>
            <w:tcBorders>
              <w:top w:val="nil"/>
            </w:tcBorders>
          </w:tcPr>
          <w:p w14:paraId="2332A1FA" w14:textId="2BFB7A0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4AA4763F" w14:textId="4DB617C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7C02F587" w14:textId="0C58EDB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888.8</w:t>
            </w:r>
          </w:p>
        </w:tc>
      </w:tr>
      <w:tr w:rsidR="005C50B2" w14:paraId="1A4EDF9C" w14:textId="77777777" w:rsidTr="005C50B2">
        <w:trPr>
          <w:trHeight w:val="305"/>
          <w:jc w:val="center"/>
        </w:trPr>
        <w:tc>
          <w:tcPr>
            <w:tcW w:w="713" w:type="pct"/>
          </w:tcPr>
          <w:p w14:paraId="3BCADDE5" w14:textId="23078E92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ETSARIMA</w:t>
            </w:r>
          </w:p>
        </w:tc>
        <w:tc>
          <w:tcPr>
            <w:tcW w:w="714" w:type="pct"/>
          </w:tcPr>
          <w:p w14:paraId="575B54D6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70AF6E1C" w14:textId="7ACAF664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152012CC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1222152A" w14:textId="260AE7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</w:tcPr>
          <w:p w14:paraId="539B80CC" w14:textId="5DBC2A9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</w:tcPr>
          <w:p w14:paraId="0A7DE1DF" w14:textId="225936E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3919.7</w:t>
            </w:r>
          </w:p>
        </w:tc>
      </w:tr>
      <w:tr w:rsidR="005C50B2" w14:paraId="7BF4D558" w14:textId="77777777" w:rsidTr="005C50B2">
        <w:trPr>
          <w:trHeight w:val="305"/>
          <w:jc w:val="center"/>
        </w:trPr>
        <w:tc>
          <w:tcPr>
            <w:tcW w:w="713" w:type="pct"/>
          </w:tcPr>
          <w:p w14:paraId="7B1CCA5B" w14:textId="503E5288" w:rsidR="00682139" w:rsidRPr="005C50B2" w:rsidRDefault="00FB6CBF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714" w:type="pct"/>
          </w:tcPr>
          <w:p w14:paraId="1A8C11A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0A8CF7AD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5D06657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596E5F5D" w14:textId="313BE02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</w:t>
            </w:r>
          </w:p>
        </w:tc>
        <w:tc>
          <w:tcPr>
            <w:tcW w:w="714" w:type="pct"/>
          </w:tcPr>
          <w:p w14:paraId="7A4D5F47" w14:textId="6D5F55CF" w:rsidR="00682139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</w:tcPr>
          <w:p w14:paraId="054D2799" w14:textId="2EC3F362" w:rsidR="00682139" w:rsidRPr="005C50B2" w:rsidRDefault="005C50B2" w:rsidP="00D25A67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-</w:t>
            </w:r>
          </w:p>
        </w:tc>
      </w:tr>
      <w:tr w:rsidR="005C50B2" w14:paraId="1B7B53BC" w14:textId="77777777" w:rsidTr="005C50B2">
        <w:trPr>
          <w:trHeight w:val="305"/>
          <w:jc w:val="center"/>
        </w:trPr>
        <w:tc>
          <w:tcPr>
            <w:tcW w:w="713" w:type="pct"/>
            <w:tcBorders>
              <w:bottom w:val="thickThinSmallGap" w:sz="24" w:space="0" w:color="auto"/>
            </w:tcBorders>
          </w:tcPr>
          <w:p w14:paraId="5EE534F8" w14:textId="6736CD19" w:rsidR="007D7FC0" w:rsidRPr="005C50B2" w:rsidRDefault="007D7FC0" w:rsidP="007D7FC0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54F879D6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1A2DEB02" w14:textId="65D26EFB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E9D6831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45B51F82" w14:textId="3C6718BD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 / ES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F267121" w14:textId="5A2CF0A3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27B3100C" w14:textId="3728CE15" w:rsidR="007D7FC0" w:rsidRPr="005C50B2" w:rsidRDefault="005C50B2" w:rsidP="007D7FC0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- </w:t>
            </w:r>
          </w:p>
        </w:tc>
      </w:tr>
    </w:tbl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  <w:bookmarkStart w:id="2" w:name="_GoBack"/>
      <w:bookmarkEnd w:id="2"/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2565347E" w14:textId="21575649" w:rsidR="007B5564" w:rsidRPr="00735FCB" w:rsidRDefault="007B5564" w:rsidP="00735FCB">
      <w:pPr>
        <w:rPr>
          <w:rFonts w:ascii="LMRoman12-Regular" w:hAnsi="LMRoman12-Regular"/>
          <w:b/>
        </w:rPr>
      </w:pPr>
    </w:p>
    <w:sectPr w:rsidR="007B5564" w:rsidRPr="00735F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56F8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D741C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50B2"/>
    <w:rsid w:val="005C7C2A"/>
    <w:rsid w:val="005D2FA4"/>
    <w:rsid w:val="005D64DD"/>
    <w:rsid w:val="005E3051"/>
    <w:rsid w:val="005F252F"/>
    <w:rsid w:val="005F2FAA"/>
    <w:rsid w:val="00607A3D"/>
    <w:rsid w:val="0061068A"/>
    <w:rsid w:val="00611E87"/>
    <w:rsid w:val="00615EC7"/>
    <w:rsid w:val="00616100"/>
    <w:rsid w:val="00620391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82139"/>
    <w:rsid w:val="00690F13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35FCB"/>
    <w:rsid w:val="00740925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D7FC0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3C11"/>
    <w:rsid w:val="00A14CE2"/>
    <w:rsid w:val="00A154A9"/>
    <w:rsid w:val="00A21774"/>
    <w:rsid w:val="00A250F2"/>
    <w:rsid w:val="00A271B7"/>
    <w:rsid w:val="00A34970"/>
    <w:rsid w:val="00A356CF"/>
    <w:rsid w:val="00A42046"/>
    <w:rsid w:val="00A43CEC"/>
    <w:rsid w:val="00A44460"/>
    <w:rsid w:val="00A50C02"/>
    <w:rsid w:val="00A5560F"/>
    <w:rsid w:val="00A55AAE"/>
    <w:rsid w:val="00A566C4"/>
    <w:rsid w:val="00A60BBE"/>
    <w:rsid w:val="00A64899"/>
    <w:rsid w:val="00A73FE1"/>
    <w:rsid w:val="00A7619B"/>
    <w:rsid w:val="00A76579"/>
    <w:rsid w:val="00A82D98"/>
    <w:rsid w:val="00A92972"/>
    <w:rsid w:val="00AA0C6A"/>
    <w:rsid w:val="00AB1AE6"/>
    <w:rsid w:val="00AB3DAC"/>
    <w:rsid w:val="00AB437F"/>
    <w:rsid w:val="00AD4B4E"/>
    <w:rsid w:val="00AD583A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6C0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BF4273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169D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555ED"/>
    <w:rsid w:val="00F61BD4"/>
    <w:rsid w:val="00F753B4"/>
    <w:rsid w:val="00F95208"/>
    <w:rsid w:val="00FA206B"/>
    <w:rsid w:val="00FA3B0D"/>
    <w:rsid w:val="00FB6CBF"/>
    <w:rsid w:val="00FC5C0A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110</cp:revision>
  <cp:lastPrinted>2019-10-29T21:51:00Z</cp:lastPrinted>
  <dcterms:created xsi:type="dcterms:W3CDTF">2019-10-20T12:49:00Z</dcterms:created>
  <dcterms:modified xsi:type="dcterms:W3CDTF">2019-12-28T22:47:00Z</dcterms:modified>
</cp:coreProperties>
</file>