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0"/>
          <w:ilvl w:val="0"/>
        </w:numPr>
      </w:pPr>
      <w:r>
        <w:rPr>
          <w:i/>
        </w:rPr>
        <w:t xml:space="preserve">What fraction of women are marked as either uncommon or rare on the tall side? What fraction of men?</w:t>
      </w:r>
      <w:r>
        <w:t xml:space="preserve"> </w:t>
      </w:r>
      <w:r>
        <w:t xml:space="preserve">  .  .  .  .  .  .  .  .  .  .  .  .  .  .  .  </w:t>
      </w:r>
    </w:p>
    <w:p>
      <w:pPr>
        <w:numPr>
          <w:numId w:val="1000"/>
          <w:ilvl w:val="0"/>
        </w:numPr>
      </w:pPr>
      <w:r>
        <w:rPr>
          <w:i/>
        </w:rPr>
        <w:t xml:space="preserve">Similarly, what fraction of women are marked as uncommon or rare on the short side? Of men?</w:t>
      </w:r>
      <w:r>
        <w:t xml:space="preserve"> </w:t>
      </w:r>
      <w:r>
        <w:t xml:space="preserve">  .  .  .  .  .  .  .  .  .  .  .  .  .  .  .  </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 Using those slider settings, answer these questions for men:</w:t>
      </w:r>
    </w:p>
    <w:p>
      <w:pPr>
        <w:numPr>
          <w:numId w:val="1000"/>
          <w:ilvl w:val="0"/>
        </w:numPr>
      </w:pPr>
      <w:r>
        <w:rPr>
          <w:i/>
        </w:rPr>
        <w:t xml:space="preserve">What fraction lie outside the common range on the short and on the tall side?</w:t>
      </w:r>
      <w:r>
        <w:t xml:space="preserve"> </w:t>
      </w:r>
      <w:r>
        <w:t xml:space="preserve">  .  .  .  .  .  .  .  .  .  .  .  .  .  .  .  .  .  .  .  .  .  .  .  .  .  </w:t>
      </w:r>
    </w:p>
    <w:p>
      <w:pPr>
        <w:numPr>
          <w:numId w:val="1000"/>
          <w:ilvl w:val="0"/>
        </w:numPr>
      </w:pPr>
      <w:r>
        <w:rPr>
          <w:i/>
        </w:rPr>
        <w:t xml:space="preserve">For the women, you set the slider so that the short and tall fractions are roughly equal. Are those fractions roughly the same for men?</w:t>
      </w:r>
      <w:r>
        <w:t xml:space="preserve"> </w:t>
      </w:r>
      <w:r>
        <w:t xml:space="preserve">  .  .  .  .  .  .  .  .  .  .  .  .  .  .  .  .  .  .  .  .  .  .  .  .  .  </w:t>
      </w:r>
    </w:p>
    <w:p>
      <w:pPr>
        <w:numPr>
          <w:numId w:val="1005"/>
          <w:ilvl w:val="0"/>
        </w:numPr>
      </w:pPr>
      <w:r>
        <w:t xml:space="preserve">Now think about the age of mothers of newborn. Write down young and old thresholds for</w:t>
      </w:r>
      <w:r>
        <w:t xml:space="preserve"> </w:t>
      </w:r>
      <w:r>
        <w:t xml:space="preserve">“</w:t>
      </w:r>
      <w:r>
        <w:t xml:space="preserve">uncommon.</w:t>
      </w:r>
      <w:r>
        <w:t xml:space="preserve">”</w:t>
      </w:r>
    </w:p>
    <w:p>
      <w:pPr>
        <w:numPr>
          <w:numId w:val="1007"/>
          <w:ilvl w:val="1"/>
        </w:numPr>
      </w:pPr>
      <w:r>
        <w:t xml:space="preserve">Set the explanatory variable to</w:t>
      </w:r>
      <w:r>
        <w:t xml:space="preserve"> </w:t>
      </w:r>
      <w:r>
        <w:rPr>
          <w:rStyle w:val="VerbatimChar"/>
        </w:rPr>
        <w:t xml:space="preserve">.none.</w:t>
      </w:r>
      <w:r>
        <w:t xml:space="preserve"> </w:t>
      </w:r>
      <w:r>
        <w:t xml:space="preserve">and 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According to the data, what fraction of mothers giving birth are uncommonly young? Uncommonly old?</w:t>
      </w:r>
    </w:p>
    <w:p>
      <w:pPr>
        <w:pStyle w:val="Compact"/>
        <w:numPr>
          <w:numId w:val="1007"/>
          <w:ilvl w:val="1"/>
        </w:numPr>
      </w:pPr>
      <w:r>
        <w:t xml:space="preserve">Let’s turn things around. Adjust the sliders so that the</w:t>
      </w:r>
      <w:r>
        <w:t xml:space="preserve"> </w:t>
      </w:r>
      <w:r>
        <w:t xml:space="preserve">“</w:t>
      </w:r>
      <w:r>
        <w:t xml:space="preserve">common</w:t>
      </w:r>
      <w:r>
        <w:t xml:space="preserve">”</w:t>
      </w:r>
      <w:r>
        <w:t xml:space="preserve"> </w:t>
      </w:r>
      <w:r>
        <w:t xml:space="preserve">range includes the central 95% of the data.</w:t>
      </w:r>
    </w:p>
    <w:p>
      <w:pPr>
        <w:pStyle w:val="Compact"/>
        <w:numPr>
          <w:numId w:val="1008"/>
          <w:ilvl w:val="2"/>
        </w:numPr>
      </w:pPr>
      <w:r>
        <w:t xml:space="preserve">Do the ages that define the</w:t>
      </w:r>
      <w:r>
        <w:t xml:space="preserve"> </w:t>
      </w:r>
      <w:r>
        <w:t xml:space="preserve">“</w:t>
      </w:r>
      <w:r>
        <w:t xml:space="preserve">common</w:t>
      </w:r>
      <w:r>
        <w:t xml:space="preserve">”</w:t>
      </w:r>
      <w:r>
        <w:t xml:space="preserve"> </w:t>
      </w:r>
      <w:r>
        <w:t xml:space="preserve">region look reasonable?</w:t>
      </w:r>
    </w:p>
    <w:p>
      <w:pPr>
        <w:pStyle w:val="Compact"/>
        <w:numPr>
          <w:numId w:val="1008"/>
          <w:ilvl w:val="2"/>
        </w:numPr>
      </w:pPr>
      <w:r>
        <w:t xml:space="preserve">On the top of the graph is a scale marked in terms of standard deviations from the mean. How well does the 95% common range correspond to the theoretical cut-offs for a normal distribution?</w:t>
      </w:r>
    </w:p>
    <w:p>
      <w:pPr>
        <w:numPr>
          <w:numId w:val="1007"/>
          <w:ilvl w:val="1"/>
        </w:numPr>
      </w:pPr>
      <w:r>
        <w:t xml:space="preserve">Look for an explanatory variable that will split up the data into groups such that one group has a much higher fraction of uncommonly young births than another group.</w:t>
      </w:r>
    </w:p>
    <w:p>
      <w:pPr>
        <w:numPr>
          <w:numId w:val="1005"/>
          <w:ilvl w:val="0"/>
        </w:numPr>
      </w:pPr>
      <w:r>
        <w:t xml:space="preserve">Consider blood pressure. A high systolic blood pressure is generally defined to be at or above 130 mmHg.</w:t>
      </w:r>
    </w:p>
    <w:p>
      <w:pPr>
        <w:pStyle w:val="Compact"/>
        <w:numPr>
          <w:numId w:val="1009"/>
          <w:ilvl w:val="1"/>
        </w:numPr>
      </w:pPr>
      <w:r>
        <w:t xml:space="preserve">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What fraction of the people in</w:t>
      </w:r>
      <w:r>
        <w:t xml:space="preserve"> </w:t>
      </w:r>
      <w:r>
        <w:rPr>
          <w:rStyle w:val="VerbatimChar"/>
        </w:rPr>
        <w:t xml:space="preserve">NHANES</w:t>
      </w:r>
      <w:r>
        <w:t xml:space="preserve"> </w:t>
      </w:r>
      <w:r>
        <w:t xml:space="preserve">have a systolic pressure above 130 mmHg?</w:t>
      </w:r>
    </w:p>
    <w:p>
      <w:pPr>
        <w:pStyle w:val="Compact"/>
        <w:numPr>
          <w:numId w:val="1009"/>
          <w:ilvl w:val="1"/>
        </w:numPr>
      </w:pPr>
      <w:r>
        <w:t xml:space="preserve">Set the explanatory variable to be</w:t>
      </w:r>
      <w:r>
        <w:t xml:space="preserve"> </w:t>
      </w:r>
      <w:r>
        <w:rPr>
          <w:rStyle w:val="VerbatimChar"/>
        </w:rPr>
        <w:t xml:space="preserve">diabetes</w:t>
      </w:r>
      <w:r>
        <w:t xml:space="preserve">. (You will also have to set the slider back to 130 mmHg.) Is there a difference in the fraction of people with diabetes who have high blood pressure compared to the fraction of people without diabetes with high blood pressure?</w:t>
      </w:r>
    </w:p>
    <w:p>
      <w:r>
        <w:pict>
          <v:rect style="width:0;height:1.5pt" o:hralign="center" o:hrstd="t" o:hr="t"/>
        </w:pict>
      </w:r>
    </w:p>
    <w:p>
      <w:pPr>
        <w:pStyle w:val="FirstParagraph"/>
      </w:pPr>
      <w:r>
        <w:t xml:space="preserve">Version 0.1, 2019-05-23, Thomas Kinzeler and Danny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common-and-rare.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common-and-rare.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2019-05-23T14:21:38Z</dcterms:created>
  <dcterms:modified xsi:type="dcterms:W3CDTF">2019-05-23T14:21:38Z</dcterms:modified>
</cp:coreProperties>
</file>