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Center</w:t>
      </w:r>
      <w:r>
        <w:t xml:space="preserve"> </w:t>
      </w:r>
      <w:r>
        <w:t xml:space="preserve">&amp;</w:t>
      </w:r>
      <w:r>
        <w:t xml:space="preserve"> </w:t>
      </w:r>
      <w:r>
        <w:t xml:space="preserve">spread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Roith</w:t>
      </w:r>
    </w:p>
    <w:p>
      <w:pPr>
        <w:pStyle w:val="Date"/>
      </w:pPr>
      <w:r>
        <w:t xml:space="preserve">2019-04-22</w:t>
      </w:r>
    </w:p>
    <w:p>
      <w:pPr>
        <w:pStyle w:val="Heading2"/>
      </w:pPr>
      <w:bookmarkStart w:id="20" w:name="activities"/>
      <w:r>
        <w:t xml:space="preserve">Activities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Variables and their summary intervals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The standard deviation and the summary interval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Shapes of distributions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The normal distribution</w:t>
        </w:r>
      </w:hyperlink>
    </w:p>
    <w:p>
      <w:pPr>
        <w:pStyle w:val="Heading2"/>
      </w:pPr>
      <w:bookmarkStart w:id="25" w:name="learning-objectives"/>
      <w:r>
        <w:t xml:space="preserve">Learning objectives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Frame the prediction of an unknown quantity using an</w:t>
      </w:r>
      <w:r>
        <w:t xml:space="preserve"> </w:t>
      </w:r>
      <w:r>
        <w:rPr>
          <w:i/>
        </w:rPr>
        <w:t xml:space="preserve">interval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Choose the prediction interval endpoints to convey a range of likely outcomes.</w:t>
      </w:r>
    </w:p>
    <w:p>
      <w:pPr>
        <w:pStyle w:val="Compact"/>
        <w:numPr>
          <w:numId w:val="1002"/>
          <w:ilvl w:val="0"/>
        </w:numPr>
      </w:pPr>
      <w:r>
        <w:t xml:space="preserve">Understand that predictions are more likely to be right when the interval is constructed to be long.</w:t>
      </w:r>
    </w:p>
    <w:p>
      <w:pPr>
        <w:pStyle w:val="Compact"/>
        <w:numPr>
          <w:numId w:val="1002"/>
          <w:ilvl w:val="0"/>
        </w:numPr>
      </w:pPr>
      <w:r>
        <w:t xml:space="preserve">Understand, in contrast to (3), that predictions are more likely to be informative when the interval is short.</w:t>
      </w:r>
    </w:p>
    <w:p>
      <w:pPr>
        <w:pStyle w:val="Compact"/>
        <w:numPr>
          <w:numId w:val="1002"/>
          <w:ilvl w:val="0"/>
        </w:numPr>
      </w:pPr>
      <w:r>
        <w:t xml:space="preserve">Master the convention that is widely used for accomplishing both (3) and (4), e.g. the use of 95% coverage as a sensible evaluation of the trade-off. Identify 95% as a</w:t>
      </w:r>
      <w:r>
        <w:t xml:space="preserve"> </w:t>
      </w:r>
      <w:r>
        <w:t xml:space="preserve">“</w:t>
      </w:r>
      <w:r>
        <w:t xml:space="preserve">level</w:t>
      </w:r>
      <w:r>
        <w:t xml:space="preserve">”</w:t>
      </w:r>
      <w:r>
        <w:t xml:space="preserve"> </w:t>
      </w:r>
      <w:r>
        <w:t xml:space="preserve">selected specifically to have a reasonable balance between (3) and (4).</w:t>
      </w:r>
    </w:p>
    <w:p>
      <w:pPr>
        <w:pStyle w:val="Compact"/>
        <w:numPr>
          <w:numId w:val="1002"/>
          <w:ilvl w:val="0"/>
        </w:numPr>
      </w:pPr>
      <w:r>
        <w:t xml:space="preserve">Be able to work with two formats for describing an interval:</w:t>
      </w:r>
      <w:r>
        <w:t xml:space="preserve"> </w:t>
      </w:r>
      <w:r>
        <w:t xml:space="preserve">“</w:t>
      </w:r>
      <w:r>
        <w:t xml:space="preserve">A to 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 ± D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Use intervals as a way to identify outliers and data anomalies.</w:t>
      </w:r>
    </w:p>
    <w:p>
      <w:pPr>
        <w:pStyle w:val="Heading2"/>
      </w:pPr>
      <w:bookmarkStart w:id="26" w:name="additional-sections"/>
      <w:r>
        <w:t xml:space="preserve">Additional sections</w:t>
      </w:r>
      <w:bookmarkEnd w:id="26"/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Word version of this document</w:t>
        </w:r>
      </w:hyperlink>
    </w:p>
    <w:p>
      <w:pPr>
        <w:pStyle w:val="Compact"/>
        <w:numPr>
          <w:numId w:val="1003"/>
          <w:ilvl w:val="0"/>
        </w:numPr>
      </w:pPr>
      <w:hyperlink w:anchor="orientation">
        <w:r>
          <w:rPr>
            <w:rStyle w:val="Hyperlink"/>
          </w:rPr>
          <w:t xml:space="preserve">Instructor orientation</w:t>
        </w:r>
      </w:hyperlink>
    </w:p>
    <w:p>
      <w:pPr>
        <w:pStyle w:val="Compact"/>
        <w:numPr>
          <w:numId w:val="1003"/>
          <w:ilvl w:val="0"/>
        </w:numPr>
      </w:pPr>
      <w:hyperlink w:anchor="role">
        <w:r>
          <w:rPr>
            <w:rStyle w:val="Hyperlink"/>
          </w:rPr>
          <w:t xml:space="preserve">Role in statistical practice</w:t>
        </w:r>
      </w:hyperlink>
    </w:p>
    <w:p>
      <w:pPr>
        <w:pStyle w:val="Compact"/>
        <w:numPr>
          <w:numId w:val="1003"/>
          <w:ilvl w:val="0"/>
        </w:numPr>
      </w:pPr>
      <w:hyperlink w:anchor="discussion">
        <w:r>
          <w:rPr>
            <w:rStyle w:val="Hyperlink"/>
          </w:rPr>
          <w:t xml:space="preserve">Classroom discussion</w:t>
        </w:r>
      </w:hyperlink>
    </w:p>
    <w:p>
      <w:pPr>
        <w:pStyle w:val="Compact"/>
        <w:numPr>
          <w:numId w:val="1003"/>
          <w:ilvl w:val="0"/>
        </w:numPr>
      </w:pPr>
      <w:hyperlink w:anchor="active">
        <w:r>
          <w:rPr>
            <w:rStyle w:val="Hyperlink"/>
          </w:rPr>
          <w:t xml:space="preserve">Tips for an active classroom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Student pre-requisites</w:t>
        </w:r>
      </w:hyperlink>
    </w:p>
    <w:p>
      <w:pPr>
        <w:pStyle w:val="Compact"/>
        <w:numPr>
          <w:numId w:val="1003"/>
          <w:ilvl w:val="0"/>
        </w:numPr>
      </w:pPr>
      <w:hyperlink w:anchor="pitfalls">
        <w:r>
          <w:rPr>
            <w:rStyle w:val="Hyperlink"/>
          </w:rPr>
          <w:t xml:space="preserve">Pitfalls</w:t>
        </w:r>
      </w:hyperlink>
    </w:p>
    <w:p>
      <w:pPr>
        <w:pStyle w:val="Heading1"/>
      </w:pPr>
      <w:bookmarkStart w:id="29" w:name="orientation"/>
      <w:r>
        <w:t xml:space="preserve">Orientation for instructors</w:t>
      </w:r>
      <w:bookmarkEnd w:id="29"/>
    </w:p>
    <w:p>
      <w:pPr>
        <w:pStyle w:val="FirstParagraph"/>
      </w:pPr>
      <w:r>
        <w:t xml:space="preserve">Early in most introductory statistics courses, students are taught ways to describe quantitative variables. As regards numerical descriptions, the mean and standard deviation are</w:t>
      </w:r>
      <w:r>
        <w:t xml:space="preserve"> </w:t>
      </w:r>
      <w:r>
        <w:t xml:space="preserve">“</w:t>
      </w:r>
      <w:r>
        <w:t xml:space="preserve">normal.</w:t>
      </w:r>
      <w:r>
        <w:t xml:space="preserve">”</w:t>
      </w:r>
      <w:r>
        <w:t xml:space="preserve"> </w:t>
      </w:r>
      <w:r>
        <w:t xml:space="preserve">(Pun intended.) The median and interquartile range offer an alternative when the variable is</w:t>
      </w:r>
      <w:r>
        <w:t xml:space="preserve"> </w:t>
      </w:r>
      <w:r>
        <w:t xml:space="preserve">“</w:t>
      </w:r>
      <w:r>
        <w:t xml:space="preserve">skew.</w:t>
      </w:r>
      <w:r>
        <w:t xml:space="preserve">”</w:t>
      </w:r>
      <w:r>
        <w:t xml:space="preserve"> </w:t>
      </w:r>
      <w:r>
        <w:t xml:space="preserve">The means and/or median are described as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values. The standard deviation describes how far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values are from the mean, that is, how much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values are spread out.</w:t>
      </w:r>
    </w:p>
    <w:p>
      <w:pPr>
        <w:pStyle w:val="BodyText"/>
      </w:pPr>
      <w:r>
        <w:t xml:space="preserve">It’s laudable that instructors look for ways to enliven or renew such topics, and to seek data and contexts that will motivate students to appreciate the importance of ideas such as</w:t>
      </w:r>
      <w:r>
        <w:t xml:space="preserve"> </w:t>
      </w:r>
      <w:r>
        <w:t xml:space="preserve">“</w:t>
      </w:r>
      <w:r>
        <w:t xml:space="preserve">representative,</w:t>
      </w:r>
      <w:r>
        <w:t xml:space="preserve">”</w:t>
      </w:r>
      <w:r>
        <w:t xml:space="preserve"> </w:t>
      </w:r>
      <w:r>
        <w:t xml:space="preserve">“</w:t>
      </w:r>
      <w:r>
        <w:t xml:space="preserve">typical,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spread.</w:t>
      </w:r>
      <w:r>
        <w:t xml:space="preserve">”</w:t>
      </w:r>
      <w:r>
        <w:t xml:space="preserve"> </w:t>
      </w:r>
      <w:r>
        <w:t xml:space="preserve">RESOURCES FOR THIS, e.g. bag of tricks</w:t>
      </w:r>
    </w:p>
    <w:p>
      <w:pPr>
        <w:pStyle w:val="BodyText"/>
      </w:pPr>
      <w:r>
        <w:t xml:space="preserve">In these StatPREP lesson notes, we’re going to take a less trodden path, recognizing there are already plenty of guides to the conventional route. So rather than orient the lesson around</w:t>
      </w:r>
      <w:r>
        <w:t xml:space="preserve"> </w:t>
      </w:r>
      <w:r>
        <w:t xml:space="preserve">“</w:t>
      </w:r>
      <w:r>
        <w:t xml:space="preserve">center and spread,</w:t>
      </w:r>
      <w:r>
        <w:t xml:space="preserve">”</w:t>
      </w:r>
      <w:r>
        <w:t xml:space="preserve"> </w:t>
      </w:r>
      <w:r>
        <w:t xml:space="preserve">we’re going to treat as the core ideas describing variation and framing predictions.</w:t>
      </w:r>
    </w:p>
    <w:p>
      <w:pPr>
        <w:pStyle w:val="Heading2"/>
      </w:pPr>
      <w:bookmarkStart w:id="30" w:name="role"/>
      <w:r>
        <w:t xml:space="preserve">Role in statistical practice</w:t>
      </w:r>
      <w:bookmarkEnd w:id="30"/>
    </w:p>
    <w:p>
      <w:pPr>
        <w:pStyle w:val="Compact"/>
        <w:numPr>
          <w:numId w:val="1004"/>
          <w:ilvl w:val="0"/>
        </w:numPr>
      </w:pPr>
      <w:r>
        <w:t xml:space="preserve">Variation</w:t>
      </w:r>
    </w:p>
    <w:p>
      <w:pPr>
        <w:pStyle w:val="Compact"/>
        <w:numPr>
          <w:numId w:val="1005"/>
          <w:ilvl w:val="1"/>
        </w:numPr>
      </w:pPr>
      <w:r>
        <w:t xml:space="preserve">understand: it = the variation. How it behaves, how it reacts under different criteria, situation. how do we expect from one observation to another, from one person to another, how a quantity varies.</w:t>
      </w:r>
    </w:p>
    <w:p>
      <w:pPr>
        <w:pStyle w:val="Compact"/>
        <w:numPr>
          <w:numId w:val="1005"/>
          <w:ilvl w:val="1"/>
        </w:numPr>
      </w:pPr>
      <w:r>
        <w:t xml:space="preserve">We want to quantify it to</w:t>
      </w:r>
    </w:p>
    <w:p>
      <w:pPr>
        <w:pStyle w:val="Compact"/>
        <w:numPr>
          <w:numId w:val="1006"/>
          <w:ilvl w:val="2"/>
        </w:numPr>
      </w:pPr>
      <w:r>
        <w:t xml:space="preserve">describe typical</w:t>
      </w:r>
    </w:p>
    <w:p>
      <w:pPr>
        <w:pStyle w:val="Compact"/>
        <w:numPr>
          <w:numId w:val="1006"/>
          <w:ilvl w:val="2"/>
        </w:numPr>
      </w:pPr>
      <w:r>
        <w:t xml:space="preserve">understand how future observations behave</w:t>
      </w:r>
    </w:p>
    <w:p>
      <w:pPr>
        <w:pStyle w:val="Compact"/>
        <w:numPr>
          <w:numId w:val="1004"/>
          <w:ilvl w:val="0"/>
        </w:numPr>
      </w:pPr>
      <w:r>
        <w:t xml:space="preserve">Part of exploratory data analysis</w:t>
      </w:r>
    </w:p>
    <w:p>
      <w:pPr>
        <w:pStyle w:val="Compact"/>
        <w:numPr>
          <w:numId w:val="1004"/>
          <w:ilvl w:val="0"/>
        </w:numPr>
      </w:pPr>
      <w:r>
        <w:t xml:space="preserve">Identifying odd values</w:t>
      </w:r>
    </w:p>
    <w:p>
      <w:pPr>
        <w:pStyle w:val="Heading2"/>
      </w:pPr>
      <w:bookmarkStart w:id="31" w:name="pitfalls"/>
      <w:r>
        <w:t xml:space="preserve">Conceptual pitfalls</w:t>
      </w:r>
      <w:bookmarkEnd w:id="31"/>
    </w:p>
    <w:p>
      <w:pPr>
        <w:pStyle w:val="FirstParagraph"/>
      </w:pPr>
      <w:r>
        <w:t xml:space="preserve">What does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mean? Is</w:t>
      </w:r>
      <w:r>
        <w:t xml:space="preserve"> </w:t>
      </w:r>
      <w:r>
        <w:t xml:space="preserve">“</w:t>
      </w:r>
      <w:r>
        <w:t xml:space="preserve">typical</w:t>
      </w:r>
      <w:r>
        <w:t xml:space="preserve">”</w:t>
      </w:r>
      <w:r>
        <w:t xml:space="preserve"> </w:t>
      </w:r>
      <w:r>
        <w:t xml:space="preserve">a single value?</w:t>
      </w:r>
    </w:p>
    <w:p>
      <w:pPr>
        <w:pStyle w:val="BodyText"/>
      </w:pPr>
      <w:r>
        <w:t xml:space="preserve">Standard deviation:</w:t>
      </w:r>
    </w:p>
    <w:p>
      <w:pPr>
        <w:pStyle w:val="Compact"/>
        <w:numPr>
          <w:numId w:val="1007"/>
          <w:ilvl w:val="0"/>
        </w:numPr>
      </w:pPr>
      <w:r>
        <w:t xml:space="preserve">Daunting name which unnecessarily inclines the student mind to relate the quantity to negative social constructs such as</w:t>
      </w:r>
      <w:r>
        <w:t xml:space="preserve"> </w:t>
      </w:r>
      <w:r>
        <w:t xml:space="preserve">“</w:t>
      </w:r>
      <w:r>
        <w:t xml:space="preserve">deviancy,</w:t>
      </w:r>
      <w:r>
        <w:t xml:space="preserve">”</w:t>
      </w:r>
      <w:r>
        <w:t xml:space="preserve"> </w:t>
      </w:r>
      <w:r>
        <w:t xml:space="preserve">“</w:t>
      </w:r>
      <w:r>
        <w:t xml:space="preserve">abnormal</w:t>
      </w:r>
      <w:r>
        <w:t xml:space="preserve">”</w:t>
      </w:r>
      <w:r>
        <w:t xml:space="preserve">,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Standard pedagogy understandably makes standard deviation a derivative of center. Center comes first, standard deviation follows.</w:t>
      </w:r>
    </w:p>
    <w:p>
      <w:pPr>
        <w:pStyle w:val="Compact"/>
        <w:numPr>
          <w:numId w:val="1007"/>
          <w:ilvl w:val="0"/>
        </w:numPr>
      </w:pPr>
      <w:r>
        <w:t xml:space="preserve">The calculation brings in seemingly arbitrary choices: squares,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. Even many instructors find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mysterious.</w:t>
      </w:r>
    </w:p>
    <w:p>
      <w:pPr>
        <w:pStyle w:val="Compact"/>
        <w:numPr>
          <w:numId w:val="1007"/>
          <w:ilvl w:val="0"/>
        </w:numPr>
      </w:pPr>
      <w:r>
        <w:t xml:space="preserve">There’s no room for student exploration: it’s a pat quantity.</w:t>
      </w:r>
    </w:p>
    <w:p>
      <w:pPr>
        <w:pStyle w:val="Heading2"/>
      </w:pPr>
      <w:bookmarkStart w:id="32" w:name="prereqs"/>
      <w:r>
        <w:t xml:space="preserve">Student pre-requisites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Graph reading:</w:t>
      </w:r>
    </w:p>
    <w:p>
      <w:pPr>
        <w:pStyle w:val="Compact"/>
        <w:numPr>
          <w:numId w:val="1009"/>
          <w:ilvl w:val="1"/>
        </w:numPr>
      </w:pPr>
      <w:r>
        <w:t xml:space="preserve">the presentation of individual values of a quantitative variable as a point in a graph.</w:t>
      </w:r>
    </w:p>
    <w:p>
      <w:pPr>
        <w:pStyle w:val="Compact"/>
        <w:numPr>
          <w:numId w:val="1009"/>
          <w:ilvl w:val="1"/>
        </w:numPr>
      </w:pPr>
      <w:r>
        <w:t xml:space="preserve">identify the most common values using the density of such points.</w:t>
      </w:r>
    </w:p>
    <w:p>
      <w:pPr>
        <w:pStyle w:val="Compact"/>
        <w:numPr>
          <w:numId w:val="1009"/>
          <w:ilvl w:val="1"/>
        </w:numPr>
      </w:pPr>
      <w:r>
        <w:t xml:space="preserve">translate density into a length for graphics purposes (e.g. histogram, violin plot)</w:t>
      </w:r>
    </w:p>
    <w:p>
      <w:pPr>
        <w:pStyle w:val="Compact"/>
        <w:numPr>
          <w:numId w:val="1009"/>
          <w:ilvl w:val="1"/>
        </w:numPr>
      </w:pPr>
      <w:r>
        <w:t xml:space="preserve">read off from a point plot reasonable answers to these questions:</w:t>
      </w:r>
    </w:p>
    <w:p>
      <w:pPr>
        <w:pStyle w:val="Compact"/>
        <w:numPr>
          <w:numId w:val="1010"/>
          <w:ilvl w:val="2"/>
        </w:numPr>
      </w:pPr>
      <w:r>
        <w:t xml:space="preserve">What’s a high value?</w:t>
      </w:r>
    </w:p>
    <w:p>
      <w:pPr>
        <w:pStyle w:val="Compact"/>
        <w:numPr>
          <w:numId w:val="1010"/>
          <w:ilvl w:val="2"/>
        </w:numPr>
      </w:pPr>
      <w:r>
        <w:t xml:space="preserve">What’s a low value?</w:t>
      </w:r>
    </w:p>
    <w:p>
      <w:pPr>
        <w:pStyle w:val="Compact"/>
        <w:numPr>
          <w:numId w:val="1010"/>
          <w:ilvl w:val="2"/>
        </w:numPr>
      </w:pPr>
      <w:r>
        <w:t xml:space="preserve">What’s a middle value?</w:t>
      </w:r>
    </w:p>
    <w:p>
      <w:pPr>
        <w:pStyle w:val="Compact"/>
        <w:numPr>
          <w:numId w:val="1010"/>
          <w:ilvl w:val="2"/>
        </w:numPr>
      </w:pPr>
      <w:r>
        <w:t xml:space="preserve">What is the range of the data?</w:t>
      </w:r>
    </w:p>
    <w:p>
      <w:pPr>
        <w:pStyle w:val="Compact"/>
        <w:numPr>
          <w:numId w:val="1010"/>
          <w:ilvl w:val="2"/>
        </w:numPr>
      </w:pPr>
      <w:r>
        <w:t xml:space="preserve">What values are just completely out of range?</w:t>
      </w:r>
    </w:p>
    <w:p>
      <w:pPr>
        <w:pStyle w:val="Compact"/>
        <w:numPr>
          <w:numId w:val="1010"/>
          <w:ilvl w:val="2"/>
        </w:numPr>
      </w:pPr>
      <w:r>
        <w:t xml:space="preserve">Are there individual values in the data that are so far from the bulk of other values as to reasonably be considered out of range for practical purposes?</w:t>
      </w:r>
    </w:p>
    <w:p>
      <w:pPr>
        <w:pStyle w:val="Compact"/>
        <w:numPr>
          <w:numId w:val="1009"/>
          <w:ilvl w:val="1"/>
        </w:numPr>
      </w:pPr>
      <w:r>
        <w:t xml:space="preserve">familiarity with plot types for presenting a quantitative variable against a categorical variable</w:t>
      </w:r>
    </w:p>
    <w:p>
      <w:pPr>
        <w:pStyle w:val="Compact"/>
        <w:numPr>
          <w:numId w:val="1008"/>
          <w:ilvl w:val="0"/>
        </w:numPr>
      </w:pPr>
      <w:r>
        <w:t xml:space="preserve">Data:</w:t>
      </w:r>
    </w:p>
    <w:p>
      <w:pPr>
        <w:pStyle w:val="Compact"/>
        <w:numPr>
          <w:numId w:val="1011"/>
          <w:ilvl w:val="1"/>
        </w:numPr>
      </w:pPr>
      <w:r>
        <w:t xml:space="preserve">correctly distinguish between quantitative versus categorical variables</w:t>
      </w:r>
    </w:p>
    <w:p>
      <w:pPr>
        <w:pStyle w:val="Compact"/>
        <w:numPr>
          <w:numId w:val="1011"/>
          <w:ilvl w:val="1"/>
        </w:numPr>
      </w:pPr>
      <w:r>
        <w:t xml:space="preserve">understand what it means to describe the unit of observation in a data frame</w:t>
      </w:r>
    </w:p>
    <w:p>
      <w:pPr>
        <w:pStyle w:val="Compact"/>
        <w:numPr>
          <w:numId w:val="1011"/>
          <w:ilvl w:val="1"/>
        </w:numPr>
      </w:pPr>
      <w:r>
        <w:t xml:space="preserve">have vocabulary to distinguish between a single observed row of a data frame (</w:t>
      </w:r>
      <w:r>
        <w:t xml:space="preserve">“</w:t>
      </w:r>
      <w:r>
        <w:t xml:space="preserve">case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row</w:t>
      </w:r>
      <w:r>
        <w:t xml:space="preserve">”</w:t>
      </w:r>
      <w:r>
        <w:t xml:space="preserve">, sometimes</w:t>
      </w:r>
      <w:r>
        <w:t xml:space="preserve"> </w:t>
      </w:r>
      <w:r>
        <w:t xml:space="preserve">“</w:t>
      </w:r>
      <w:r>
        <w:t xml:space="preserve">person</w:t>
      </w:r>
      <w:r>
        <w:t xml:space="preserve">”</w:t>
      </w:r>
      <w:r>
        <w:t xml:space="preserve">) and the collected set of many rows.</w:t>
      </w:r>
    </w:p>
    <w:p>
      <w:pPr>
        <w:pStyle w:val="Heading2"/>
      </w:pPr>
      <w:bookmarkStart w:id="33" w:name="discussion"/>
      <w:r>
        <w:t xml:space="preserve">Classroom discussion</w:t>
      </w:r>
      <w:bookmarkEnd w:id="33"/>
    </w:p>
    <w:p>
      <w:pPr>
        <w:numPr>
          <w:numId w:val="1012"/>
          <w:ilvl w:val="0"/>
        </w:numPr>
      </w:pPr>
      <w:r>
        <w:t xml:space="preserve">the prediction game</w:t>
      </w:r>
    </w:p>
    <w:p>
      <w:pPr>
        <w:numPr>
          <w:numId w:val="1012"/>
          <w:ilvl w:val="0"/>
        </w:numPr>
      </w:pPr>
      <w:r>
        <w:t xml:space="preserve">best placement of intervals</w:t>
      </w:r>
    </w:p>
    <w:p>
      <w:pPr>
        <w:numPr>
          <w:numId w:val="1012"/>
          <w:ilvl w:val="0"/>
        </w:numPr>
      </w:pPr>
      <w:r>
        <w:t xml:space="preserve">should intervals be short or long?</w:t>
      </w:r>
    </w:p>
    <w:p>
      <w:pPr>
        <w:numPr>
          <w:numId w:val="1012"/>
          <w:ilvl w:val="0"/>
        </w:numPr>
      </w:pPr>
      <w:r>
        <w:t xml:space="preserve">quantifying big, small,</w:t>
      </w:r>
      <w:r>
        <w:t xml:space="preserve"> </w:t>
      </w:r>
      <w:r>
        <w:t xml:space="preserve">“</w:t>
      </w:r>
      <w:r>
        <w:t xml:space="preserve">slightly</w:t>
      </w:r>
      <w:r>
        <w:t xml:space="preserve">”</w:t>
      </w:r>
      <w:r>
        <w:t xml:space="preserve"> </w:t>
      </w:r>
      <w:r>
        <w:t xml:space="preserve">different, unsurprising difference, surprising difference. Defining big in terms of a the individual variables, e.g. a couple of standard deviations.</w:t>
      </w:r>
    </w:p>
    <w:p>
      <w:pPr>
        <w:numPr>
          <w:numId w:val="1012"/>
          <w:ilvl w:val="0"/>
        </w:numPr>
      </w:pPr>
      <w:r>
        <w:t xml:space="preserve">how an explanatory variable can make prediction better</w:t>
      </w:r>
    </w:p>
    <w:p>
      <w:pPr>
        <w:numPr>
          <w:numId w:val="1012"/>
          <w:ilvl w:val="0"/>
        </w:numPr>
      </w:pPr>
      <w:r>
        <w:t xml:space="preserve">prediction as a framework for talking about difference</w:t>
      </w:r>
    </w:p>
    <w:p>
      <w:pPr>
        <w:pStyle w:val="Compact"/>
        <w:numPr>
          <w:numId w:val="1012"/>
          <w:ilvl w:val="0"/>
        </w:numPr>
      </w:pPr>
      <w:r>
        <w:t xml:space="preserve">Why do we leave some cases out of the interval?</w:t>
      </w:r>
    </w:p>
    <w:p>
      <w:pPr>
        <w:pStyle w:val="Compact"/>
        <w:numPr>
          <w:numId w:val="1013"/>
          <w:ilvl w:val="1"/>
        </w:numPr>
      </w:pPr>
      <w:r>
        <w:t xml:space="preserve">outliers, dilutes what we have to say</w:t>
      </w:r>
    </w:p>
    <w:p>
      <w:pPr>
        <w:numPr>
          <w:numId w:val="1012"/>
          <w:ilvl w:val="0"/>
        </w:numPr>
      </w:pPr>
      <w:r>
        <w:t xml:space="preserve">Equivalence of top-to-bottom and middle +- width</w:t>
      </w:r>
    </w:p>
    <w:p>
      <w:pPr>
        <w:numPr>
          <w:numId w:val="1012"/>
          <w:ilvl w:val="0"/>
        </w:numPr>
      </w:pPr>
      <w:r>
        <w:t xml:space="preserve">Train eye to say what range covers almost everything. Then, give a meaningful standard for</w:t>
      </w:r>
      <w:r>
        <w:t xml:space="preserve"> </w:t>
      </w:r>
      <w:r>
        <w:t xml:space="preserve">“</w:t>
      </w:r>
      <w:r>
        <w:t xml:space="preserve">almost everything.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How well does a given number represent the center of the distribution?</w:t>
      </w:r>
    </w:p>
    <w:p>
      <w:pPr>
        <w:pStyle w:val="Compact"/>
        <w:numPr>
          <w:numId w:val="1014"/>
          <w:ilvl w:val="1"/>
        </w:numPr>
      </w:pPr>
      <w:r>
        <w:t xml:space="preserve">most people are that height: no!</w:t>
      </w:r>
    </w:p>
    <w:p>
      <w:pPr>
        <w:pStyle w:val="Compact"/>
        <w:numPr>
          <w:numId w:val="1014"/>
          <w:ilvl w:val="1"/>
        </w:numPr>
      </w:pPr>
      <w:r>
        <w:t xml:space="preserve">normal people are that height: but what’s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</w:p>
    <w:p>
      <w:pPr>
        <w:pStyle w:val="Compact"/>
        <w:numPr>
          <w:numId w:val="1014"/>
          <w:ilvl w:val="1"/>
        </w:numPr>
      </w:pPr>
      <w:r>
        <w:t xml:space="preserve">most people are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to that height?</w:t>
      </w:r>
    </w:p>
    <w:p>
      <w:pPr>
        <w:pStyle w:val="Compact"/>
        <w:numPr>
          <w:numId w:val="1015"/>
          <w:ilvl w:val="2"/>
        </w:numPr>
      </w:pPr>
      <w:r>
        <w:t xml:space="preserve">What does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mean?</w:t>
      </w:r>
    </w:p>
    <w:p>
      <w:pPr>
        <w:pStyle w:val="Compact"/>
        <w:numPr>
          <w:numId w:val="1015"/>
          <w:ilvl w:val="2"/>
        </w:numPr>
      </w:pPr>
      <w:r>
        <w:t xml:space="preserve">What does</w:t>
      </w:r>
      <w:r>
        <w:t xml:space="preserve"> </w:t>
      </w:r>
      <w:r>
        <w:t xml:space="preserve">“</w:t>
      </w:r>
      <w:r>
        <w:t xml:space="preserve">most</w:t>
      </w:r>
      <w:r>
        <w:t xml:space="preserve">”</w:t>
      </w:r>
      <w:r>
        <w:t xml:space="preserve"> </w:t>
      </w:r>
      <w:r>
        <w:t xml:space="preserve">mean.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: majority,</w:t>
      </w:r>
    </w:p>
    <w:p>
      <w:pPr>
        <w:numPr>
          <w:numId w:val="1012"/>
          <w:ilvl w:val="0"/>
        </w:numPr>
      </w:pPr>
      <w:r>
        <w:t xml:space="preserve">How do we answer questions like</w:t>
      </w:r>
      <w:r>
        <w:t xml:space="preserve"> </w:t>
      </w:r>
      <w:r>
        <w:t xml:space="preserve">“</w:t>
      </w:r>
      <w:r>
        <w:t xml:space="preserve">about the same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very different</w:t>
      </w:r>
      <w:r>
        <w:t xml:space="preserve">”</w:t>
      </w:r>
      <w:r>
        <w:t xml:space="preserve">. Or</w:t>
      </w:r>
      <w:r>
        <w:t xml:space="preserve"> </w:t>
      </w:r>
      <w:r>
        <w:t xml:space="preserve">“</w:t>
      </w:r>
      <w:r>
        <w:t xml:space="preserve">two random people will be about this close together</w:t>
      </w:r>
      <w:r>
        <w:t xml:space="preserve">”</w:t>
      </w:r>
    </w:p>
    <w:p>
      <w:pPr>
        <w:numPr>
          <w:numId w:val="1012"/>
          <w:ilvl w:val="0"/>
        </w:numPr>
      </w:pPr>
      <w:r>
        <w:t xml:space="preserve">Let’s play a little game. Tell me what the temperature is outside. You pay $5 to play. You’ll win $100 if you guess the exactly the right temperature. Would you play that game?</w:t>
      </w:r>
    </w:p>
    <w:p>
      <w:pPr>
        <w:numPr>
          <w:numId w:val="1000"/>
          <w:ilvl w:val="0"/>
        </w:numPr>
      </w:pPr>
      <w:r>
        <w:t xml:space="preserve">Change the game. You give me a range of temperatures. You’ll get $1,000,000 if the actual temperature is in that range.</w:t>
      </w:r>
    </w:p>
    <w:p>
      <w:pPr>
        <w:numPr>
          <w:numId w:val="1000"/>
          <w:ilvl w:val="0"/>
        </w:numPr>
      </w:pPr>
      <w:r>
        <w:t xml:space="preserve">What if they had to pay you $1 for every 0.1 degree in the range.</w:t>
      </w:r>
    </w:p>
    <w:p>
      <w:pPr>
        <w:pStyle w:val="Heading2"/>
      </w:pPr>
      <w:bookmarkStart w:id="34" w:name="active"/>
      <w:r>
        <w:t xml:space="preserve">Creating an active classroom</w:t>
      </w:r>
      <w:bookmarkEnd w:id="34"/>
    </w:p>
    <w:p>
      <w:pPr>
        <w:pStyle w:val="FirstParagraph"/>
      </w:pPr>
      <w:r>
        <w:t xml:space="preserve">Let students discuss among themselves:</w:t>
      </w:r>
    </w:p>
    <w:p>
      <w:pPr>
        <w:pStyle w:val="Compact"/>
        <w:numPr>
          <w:numId w:val="1016"/>
          <w:ilvl w:val="0"/>
        </w:numPr>
      </w:pPr>
      <w:r>
        <w:t xml:space="preserve">how to evaluate the tradeoff between stating narrow prediction intervals and stating intervals that are likely to contain the eventual value when it is known.</w:t>
      </w:r>
    </w:p>
    <w:p>
      <w:pPr>
        <w:pStyle w:val="Compact"/>
        <w:numPr>
          <w:numId w:val="1016"/>
          <w:ilvl w:val="0"/>
        </w:numPr>
      </w:pPr>
      <w:r>
        <w:t xml:space="preserve">comment on the choice of 95% level and the plusses and minuses of that compared to a 50% or other level.</w:t>
      </w:r>
    </w:p>
    <w:p>
      <w:pPr>
        <w:pStyle w:val="Heading2"/>
      </w:pPr>
      <w:bookmarkStart w:id="35" w:name="pushing-the-envelopeadvancing-the-field"/>
      <w:r>
        <w:t xml:space="preserve">Pushing the envelope/advancing the field</w:t>
      </w:r>
      <w:bookmarkEnd w:id="35"/>
    </w:p>
    <w:p>
      <w:pPr>
        <w:pStyle w:val="Compact"/>
        <w:numPr>
          <w:numId w:val="1017"/>
          <w:ilvl w:val="0"/>
        </w:numPr>
      </w:pPr>
      <w:r>
        <w:t xml:space="preserve">a proper statistical prediction is not simply a number, but expresses both belief and uncertainty.</w:t>
      </w:r>
    </w:p>
    <w:p>
      <w:pPr>
        <w:pStyle w:val="Compact"/>
        <w:numPr>
          <w:numId w:val="1017"/>
          <w:ilvl w:val="0"/>
        </w:numPr>
      </w:pPr>
      <w:r>
        <w:t xml:space="preserve">standard deviations are one of the ways of describing spread, but there are many others, such as 95% summary intervals.</w:t>
      </w:r>
    </w:p>
    <w:p>
      <w:pPr>
        <w:pStyle w:val="Heading2"/>
      </w:pPr>
      <w:bookmarkStart w:id="36" w:name="author-info"/>
      <w:r>
        <w:t xml:space="preserve">Author info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lessons/distribution-shapes/" TargetMode="External" /><Relationship Type="http://schemas.openxmlformats.org/officeDocument/2006/relationships/hyperlink" Id="rId24" Target="/lessons/normal-parameters/" TargetMode="External" /><Relationship Type="http://schemas.openxmlformats.org/officeDocument/2006/relationships/hyperlink" Id="rId22" Target="/lessons/sd_and_summary_interval/" TargetMode="External" /><Relationship Type="http://schemas.openxmlformats.org/officeDocument/2006/relationships/hyperlink" Id="rId21" Target="/lessons/summary-interval/" TargetMode="External" /><Relationship Type="http://schemas.openxmlformats.org/officeDocument/2006/relationships/hyperlink" Id="rId27" Target="/word-versions/foo.docx" TargetMode="External" /><Relationship Type="http://schemas.openxmlformats.org/officeDocument/2006/relationships/hyperlink" Id="rId28" Target="l#prereq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lessons/distribution-shapes/" TargetMode="External" /><Relationship Type="http://schemas.openxmlformats.org/officeDocument/2006/relationships/hyperlink" Id="rId24" Target="/lessons/normal-parameters/" TargetMode="External" /><Relationship Type="http://schemas.openxmlformats.org/officeDocument/2006/relationships/hyperlink" Id="rId22" Target="/lessons/sd_and_summary_interval/" TargetMode="External" /><Relationship Type="http://schemas.openxmlformats.org/officeDocument/2006/relationships/hyperlink" Id="rId21" Target="/lessons/summary-interval/" TargetMode="External" /><Relationship Type="http://schemas.openxmlformats.org/officeDocument/2006/relationships/hyperlink" Id="rId27" Target="/word-versions/foo.docx" TargetMode="External" /><Relationship Type="http://schemas.openxmlformats.org/officeDocument/2006/relationships/hyperlink" Id="rId28" Target="l#prereq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Center &amp; spread</dc:title>
  <dc:creator>Joseph Roith</dc:creator>
  <cp:keywords/>
  <dcterms:created xsi:type="dcterms:W3CDTF">2019-05-24T17:36:02Z</dcterms:created>
  <dcterms:modified xsi:type="dcterms:W3CDTF">2019-05-24T17:36:02Z</dcterms:modified>
</cp:coreProperties>
</file>