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Variables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unit</w:t>
      </w:r>
      <w:r>
        <w:t xml:space="preserve"> </w:t>
      </w:r>
      <w:r>
        <w:t xml:space="preserve">of</w:t>
      </w:r>
      <w:r>
        <w:t xml:space="preserve"> </w:t>
      </w:r>
      <w:r>
        <w:t xml:space="preserve">observation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Lesson</w:t>
      </w:r>
    </w:p>
    <w:p>
      <w:pPr>
        <w:pStyle w:val="Heading2"/>
      </w:pPr>
      <w:bookmarkStart w:id="20" w:name="orientation"/>
      <w:r>
        <w:t xml:space="preserve">Orientation</w:t>
      </w:r>
      <w:bookmarkEnd w:id="20"/>
    </w:p>
    <w:p>
      <w:pPr>
        <w:pStyle w:val="FirstParagraph"/>
      </w:pPr>
      <w:r>
        <w:t xml:space="preserve">There’s an expression about how to accomplish a complex, confusing, and difficult task:</w:t>
      </w:r>
      <w:r>
        <w:t xml:space="preserve"> </w:t>
      </w:r>
      <w:r>
        <w:rPr>
          <w:i/>
        </w:rPr>
        <w:t xml:space="preserve">One step a at time.</w:t>
      </w:r>
      <w:r>
        <w:t xml:space="preserve"> </w:t>
      </w:r>
      <w:r>
        <w:t xml:space="preserve">The purpose of this lesson is to provide you with a step-by-step procedure for working with data. Each step can be straightforward. Some steps involve informing yourself about the data at hand. Some steps require creativity and insight about the real-world system the data represents. Some steps require application of a particular technical procedure.</w:t>
      </w:r>
    </w:p>
    <w:p>
      <w:pPr>
        <w:pStyle w:val="BodyText"/>
      </w:pPr>
      <w:r>
        <w:t xml:space="preserve">Here are steps for getting started with a data frame that’s already available to you.</w:t>
      </w:r>
    </w:p>
    <w:p>
      <w:pPr>
        <w:pStyle w:val="Compact"/>
        <w:numPr>
          <w:numId w:val="1001"/>
          <w:ilvl w:val="0"/>
        </w:numPr>
      </w:pPr>
      <w:r>
        <w:t xml:space="preserve">Find out what is the</w:t>
      </w:r>
      <w:r>
        <w:t xml:space="preserve"> </w:t>
      </w:r>
      <w:r>
        <w:rPr>
          <w:i/>
        </w:rPr>
        <w:t xml:space="preserve">unit of observation</w:t>
      </w:r>
      <w:r>
        <w:t xml:space="preserve">, that is, what each row stands for.</w:t>
      </w:r>
    </w:p>
    <w:p>
      <w:pPr>
        <w:pStyle w:val="Compact"/>
        <w:numPr>
          <w:numId w:val="1001"/>
          <w:ilvl w:val="0"/>
        </w:numPr>
      </w:pPr>
      <w:r>
        <w:t xml:space="preserve">Find out what are the</w:t>
      </w:r>
      <w:r>
        <w:t xml:space="preserve"> </w:t>
      </w:r>
      <w:r>
        <w:rPr>
          <w:i/>
        </w:rPr>
        <w:t xml:space="preserve">variables</w:t>
      </w:r>
      <w:r>
        <w:t xml:space="preserve">, the name of each, and what each one stands for.</w:t>
      </w:r>
    </w:p>
    <w:p>
      <w:pPr>
        <w:pStyle w:val="Compact"/>
        <w:numPr>
          <w:numId w:val="1001"/>
          <w:ilvl w:val="0"/>
        </w:numPr>
      </w:pPr>
      <w:r>
        <w:t xml:space="preserve">Choose a</w:t>
      </w:r>
      <w:r>
        <w:t xml:space="preserve"> </w:t>
      </w:r>
      <w:r>
        <w:rPr>
          <w:i/>
        </w:rPr>
        <w:t xml:space="preserve">response variable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Select one or more</w:t>
      </w:r>
      <w:r>
        <w:t xml:space="preserve"> </w:t>
      </w:r>
      <w:r>
        <w:rPr>
          <w:i/>
        </w:rPr>
        <w:t xml:space="preserve">explanatory variables</w:t>
      </w:r>
      <w:r>
        <w:t xml:space="preserve"> </w:t>
      </w:r>
      <w:r>
        <w:t xml:space="preserve">which you suspect might account for the response variable.</w:t>
      </w:r>
    </w:p>
    <w:p>
      <w:pPr>
        <w:pStyle w:val="Compact"/>
        <w:numPr>
          <w:numId w:val="1001"/>
          <w:ilvl w:val="0"/>
        </w:numPr>
      </w:pPr>
      <w:r>
        <w:t xml:space="preserve">Examine</w:t>
      </w:r>
      <w:r>
        <w:t xml:space="preserve"> </w:t>
      </w:r>
      <w:r>
        <w:rPr>
          <w:i/>
        </w:rPr>
        <w:t xml:space="preserve">how much</w:t>
      </w:r>
      <w:r>
        <w:t xml:space="preserve"> </w:t>
      </w:r>
      <w:r>
        <w:t xml:space="preserve">of the variation in the response variable is accounted for by the explanatory variables.</w:t>
      </w:r>
    </w:p>
    <w:p>
      <w:pPr>
        <w:pStyle w:val="Compact"/>
        <w:numPr>
          <w:numId w:val="1001"/>
          <w:ilvl w:val="0"/>
        </w:numPr>
      </w:pPr>
      <w:r>
        <w:t xml:space="preserve">Describe in words and numbers the</w:t>
      </w:r>
      <w:r>
        <w:t xml:space="preserve"> </w:t>
      </w:r>
      <w:r>
        <w:rPr>
          <w:i/>
        </w:rPr>
        <w:t xml:space="preserve">pattern of the relationship</w:t>
      </w:r>
      <w:r>
        <w:t xml:space="preserve"> </w:t>
      </w:r>
      <w:r>
        <w:t xml:space="preserve">between the explanatory variables and the response variable.</w:t>
      </w:r>
    </w:p>
    <w:p>
      <w:pPr>
        <w:pStyle w:val="FirstParagraph"/>
      </w:pPr>
      <w:r>
        <w:t xml:space="preserve">In this lesson, your’re going to work on steps (1) and (2).</w:t>
      </w:r>
    </w:p>
    <w:p>
      <w:pPr>
        <w:pStyle w:val="Heading2"/>
      </w:pPr>
      <w:bookmarkStart w:id="21" w:name="activity"/>
      <w:r>
        <w:t xml:space="preserve">Activity</w:t>
      </w:r>
      <w:bookmarkEnd w:id="21"/>
    </w:p>
    <w:p>
      <w:pPr>
        <w:pStyle w:val="FirstParagraph"/>
      </w:pPr>
      <w:r>
        <w:t xml:space="preserve">You’ll use the</w:t>
      </w:r>
      <w:r>
        <w:t xml:space="preserve"> </w:t>
      </w:r>
      <w:hyperlink r:id="rId22">
        <w:r>
          <w:rPr>
            <w:rStyle w:val="Hyperlink"/>
          </w:rPr>
          <w:t xml:space="preserve">variables-and-units Little App</w:t>
        </w:r>
      </w:hyperlink>
      <w:r>
        <w:t xml:space="preserve"> </w:t>
      </w:r>
      <w:r>
        <w:t xml:space="preserve">for this lesson. Open the little app and select the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data.</w:t>
      </w:r>
    </w:p>
    <w:p>
      <w:pPr>
        <w:pStyle w:val="BodyText"/>
      </w:pPr>
      <w:r>
        <w:t xml:space="preserve">Steps (1) and (2) are to find out about the data frame: What is the unit of analysis and what are the variables. A standard place to get information about a data frame is the</w:t>
      </w:r>
      <w:r>
        <w:t xml:space="preserve"> </w:t>
      </w:r>
      <w:r>
        <w:rPr>
          <w:i/>
        </w:rPr>
        <w:t xml:space="preserve">codebook</w:t>
      </w:r>
      <w:r>
        <w:t xml:space="preserve"> </w:t>
      </w:r>
      <w:r>
        <w:t xml:space="preserve">for the data frame, which is the descriptive documentation about the data.</w:t>
      </w:r>
    </w:p>
    <w:p>
      <w:pPr>
        <w:numPr>
          <w:numId w:val="1002"/>
          <w:ilvl w:val="0"/>
        </w:numPr>
      </w:pPr>
      <w:r>
        <w:t xml:space="preserve">Go to the</w:t>
      </w:r>
      <w:r>
        <w:t xml:space="preserve"> </w:t>
      </w:r>
      <w:r>
        <w:rPr>
          <w:i/>
          <w:b/>
        </w:rPr>
        <w:t xml:space="preserve">Codebook</w:t>
      </w:r>
      <w:r>
        <w:t xml:space="preserve"> </w:t>
      </w:r>
      <w:r>
        <w:t xml:space="preserve">tab in the app. The documentation will appear.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unit of observation</w:t>
      </w:r>
      <w:r>
        <w:t xml:space="preserve"> </w:t>
      </w:r>
      <w:r>
        <w:t xml:space="preserve">is the kind of</w:t>
      </w:r>
      <w:r>
        <w:t xml:space="preserve"> </w:t>
      </w:r>
      <w:r>
        <w:t xml:space="preserve">“</w:t>
      </w:r>
      <w:r>
        <w:t xml:space="preserve">thing</w:t>
      </w:r>
      <w:r>
        <w:t xml:space="preserve">”</w:t>
      </w:r>
      <w:r>
        <w:t xml:space="preserve"> </w:t>
      </w:r>
      <w:r>
        <w:t xml:space="preserve">each row of the data is about. Read the description section of the codebook. This often contains clues about the unit of observation. Note the words</w:t>
      </w:r>
      <w:r>
        <w:t xml:space="preserve"> </w:t>
      </w:r>
      <w:r>
        <w:t xml:space="preserve">“</w:t>
      </w:r>
      <w:r>
        <w:t xml:space="preserve">survey,</w:t>
      </w:r>
      <w:r>
        <w:t xml:space="preserve">”</w:t>
      </w:r>
      <w:r>
        <w:t xml:space="preserve"> </w:t>
      </w:r>
      <w:r>
        <w:t xml:space="preserve">“</w:t>
      </w:r>
      <w:r>
        <w:t xml:space="preserve">individuals,</w:t>
      </w:r>
      <w:r>
        <w:t xml:space="preserve">”</w:t>
      </w:r>
      <w:r>
        <w:t xml:space="preserve"> </w:t>
      </w:r>
      <w:r>
        <w:t xml:space="preserve">“</w:t>
      </w:r>
      <w:r>
        <w:t xml:space="preserve">interviewed.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What do you think is the unit of observation?</w:t>
      </w:r>
      <w:r>
        <w:t xml:space="preserve"> </w:t>
      </w:r>
    </w:p>
    <w:p>
      <w:pPr>
        <w:numPr>
          <w:numId w:val="1002"/>
          <w:ilvl w:val="0"/>
        </w:numPr>
      </w:pPr>
      <w:r>
        <w:t xml:space="preserve">The variables are described further on in the codebook.</w:t>
      </w:r>
    </w:p>
    <w:p>
      <w:pPr>
        <w:pStyle w:val="Compact"/>
        <w:numPr>
          <w:numId w:val="1004"/>
          <w:ilvl w:val="1"/>
        </w:numPr>
      </w:pPr>
      <w:r>
        <w:t xml:space="preserve">Find a few variables whose meaning is obvious to you.</w:t>
      </w:r>
    </w:p>
    <w:p>
      <w:pPr>
        <w:pStyle w:val="Compact"/>
        <w:numPr>
          <w:numId w:val="1004"/>
          <w:ilvl w:val="1"/>
        </w:numPr>
      </w:pPr>
      <w:r>
        <w:t xml:space="preserve">Some variables have simple names like</w:t>
      </w:r>
      <w:r>
        <w:t xml:space="preserve"> </w:t>
      </w:r>
      <w:r>
        <w:rPr>
          <w:rStyle w:val="VerbatimChar"/>
        </w:rPr>
        <w:t xml:space="preserve">Age</w:t>
      </w:r>
      <w:r>
        <w:t xml:space="preserve">. Some have names that are more like a codeword, like</w:t>
      </w:r>
      <w:r>
        <w:t xml:space="preserve"> </w:t>
      </w:r>
      <w:r>
        <w:rPr>
          <w:rStyle w:val="VerbatimChar"/>
        </w:rPr>
        <w:t xml:space="preserve">BPSysAve</w:t>
      </w:r>
      <w:r>
        <w:t xml:space="preserve">. Find a few variables with such names and see if the description of the variable’s meaning helps you understand what the variable is about.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0.2, 2019-05-02, Danny Kaplan,</w:t>
      </w:r>
      <w:r>
        <w:t xml:space="preserve"> </w:t>
      </w:r>
      <w:hyperlink r:id="rId23">
        <w:r>
          <w:rPr>
            <w:rStyle w:val="Hyperlink"/>
          </w:rPr>
          <w:t xml:space="preserve">Word version</w:t>
        </w:r>
      </w:hyperlink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3" Target="/word-versions/foo.docx" TargetMode="External" /><Relationship Type="http://schemas.openxmlformats.org/officeDocument/2006/relationships/hyperlink" Id="rId22" Target="https://dtkaplan.shinyapps.io/LA_point_plo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/word-versions/foo.docx" TargetMode="External" /><Relationship Type="http://schemas.openxmlformats.org/officeDocument/2006/relationships/hyperlink" Id="rId22" Target="https://dtkaplan.shinyapps.io/LA_point_plo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Variables and the unit of observation</dc:title>
  <dc:creator/>
  <cp:keywords/>
  <dcterms:created xsi:type="dcterms:W3CDTF">2019-05-02T21:31:20Z</dcterms:created>
  <dcterms:modified xsi:type="dcterms:W3CDTF">2019-05-02T21:31:20Z</dcterms:modified>
</cp:coreProperties>
</file>