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paremeter.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somewhat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legitimate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numPr>
          <w:numId w:val="1001"/>
          <w:ilvl w:val="0"/>
        </w:numPr>
      </w:pPr>
      <w:r>
        <w:t xml:space="preserve">Open the Little App on</w:t>
      </w:r>
      <w:r>
        <w:t xml:space="preserve"> </w:t>
      </w:r>
      <w:hyperlink r:id="rId22">
        <w:r>
          <w:rPr>
            <w:rStyle w:val="Hyperlink"/>
          </w:rPr>
          <w:t xml:space="preserve">Confidence intervals and sampling bias</w:t>
        </w:r>
      </w:hyperlink>
      <w:r>
        <w:t xml:space="preserve">. (See footnote</w:t>
      </w:r>
      <w:r>
        <w:rPr>
          <w:rStyle w:val="FootnoteReference"/>
        </w:rPr>
        <w:footnoteReference w:id="23"/>
      </w:r>
      <w:r>
        <w:t xml:space="preserve">).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numPr>
          <w:numId w:val="1000"/>
          <w:ilvl w:val="0"/>
        </w:numPr>
      </w:pPr>
      <w:r>
        <w:t xml:space="preserve">Also shown in the app is a horizontal line showing the</w:t>
      </w:r>
      <w:r>
        <w:t xml:space="preserve"> </w:t>
      </w:r>
      <w:r>
        <w:rPr>
          <w:i/>
        </w:rPr>
        <w:t xml:space="preserve">population mean</w:t>
      </w:r>
      <w:r>
        <w:t xml:space="preserve">. Of course, ordinarily we don’t know the population mean, but this app uses the whole data set, typically many thousands of cases, as a stand-in for the population.</w:t>
      </w:r>
    </w:p>
    <w:p>
      <w:pPr>
        <w:numPr>
          <w:numId w:val="1000"/>
          <w:ilvl w:val="0"/>
        </w:numPr>
      </w:pPr>
      <w:r>
        <w:t xml:space="preserve">There is also an interval shown. It was calculated using a standard technique for finding the confidence interval on the mean from the sample.</w:t>
      </w:r>
    </w:p>
    <w:p>
      <w:pPr>
        <w:numPr>
          <w:numId w:val="1000"/>
          <w:ilvl w:val="0"/>
        </w:numPr>
      </w:pPr>
      <w:r>
        <w:t xml:space="preserve">Chances are, the confidence interval on your display includes the population parameter. The probability of that being the case is the meaning of the</w:t>
      </w:r>
      <w:r>
        <w:t xml:space="preserve"> </w:t>
      </w:r>
      <w:r>
        <w:rPr>
          <w:i/>
        </w:rPr>
        <w:t xml:space="preserve">confidence level</w:t>
      </w:r>
      <w:r>
        <w:t xml:space="preserve">, which by default is 95%.</w:t>
      </w:r>
    </w:p>
    <w:p>
      <w:pPr>
        <w:pStyle w:val="Compact"/>
        <w:numPr>
          <w:numId w:val="1002"/>
          <w:ilvl w:val="1"/>
        </w:numPr>
      </w:pPr>
      <w:r>
        <w:t xml:space="preserve">Since the default confidence level is 95%, it’s to be expected that the vast majority of the time the confidence interval will include the population parameter. 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Keep going until you encounter at least 2 intervals that don’t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and see if the confidence interval covers the population parameter with the right frequency, that is, about 50% for a 50% confidence level and 95% for a 95% level.</w:t>
      </w:r>
    </w:p>
    <w:p>
      <w:pPr>
        <w:numPr>
          <w:numId w:val="1000"/>
          <w:ilvl w:val="0"/>
        </w:numPr>
      </w:pPr>
      <w:r>
        <w:t xml:space="preserve">Your answer:_________</w:t>
      </w:r>
    </w:p>
    <w:p>
      <w:pPr>
        <w:numPr>
          <w:numId w:val="1001"/>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level.</w:t>
      </w:r>
    </w:p>
    <w:p>
      <w:pPr>
        <w:pStyle w:val="Compact"/>
        <w:numPr>
          <w:numId w:val="1006"/>
          <w:ilvl w:val="1"/>
        </w:numPr>
      </w:pPr>
      <w:r>
        <w:t xml:space="preserve">Keeping one sample on the display, change the confidence level. Use the measuring stick to find the length of the new interval and record this information in the table below.</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Confidence level</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Interval length</w:t>
            </w:r>
          </w:p>
        </w:tc>
      </w:tr>
      <w:tr>
        <w:tc>
          <w:p>
            <w:pPr>
              <w:pStyle w:val="Compact"/>
              <w:jc w:val="right"/>
              <w:numPr>
                <w:numId w:val="1000"/>
                <w:ilvl w:val="0"/>
              </w:numPr>
            </w:pPr>
            <w:r>
              <w:t xml:space="preserve">50%</w:t>
            </w:r>
          </w:p>
        </w:tc>
        <w:tc>
          <w:p>
            <w:pPr>
              <w:pStyle w:val="Compact"/>
            </w:pPr>
          </w:p>
        </w:tc>
        <w:tc>
          <w:p>
            <w:pPr>
              <w:pStyle w:val="Compact"/>
            </w:pPr>
          </w:p>
        </w:tc>
      </w:tr>
      <w:tr>
        <w:tc>
          <w:p>
            <w:pPr>
              <w:pStyle w:val="Compact"/>
              <w:jc w:val="right"/>
              <w:numPr>
                <w:numId w:val="1000"/>
                <w:ilvl w:val="0"/>
              </w:numPr>
            </w:pPr>
            <w:r>
              <w:t xml:space="preserve">80%</w:t>
            </w:r>
          </w:p>
        </w:tc>
        <w:tc>
          <w:p>
            <w:pPr>
              <w:pStyle w:val="Compact"/>
            </w:pPr>
          </w:p>
        </w:tc>
        <w:tc>
          <w:p>
            <w:pPr>
              <w:pStyle w:val="Compact"/>
            </w:pPr>
          </w:p>
        </w:tc>
      </w:tr>
      <w:tr>
        <w:tc>
          <w:p>
            <w:pPr>
              <w:pStyle w:val="Compact"/>
              <w:jc w:val="right"/>
              <w:numPr>
                <w:numId w:val="1000"/>
                <w:ilvl w:val="0"/>
              </w:numPr>
            </w:pPr>
            <w:r>
              <w:t xml:space="preserve">95%</w:t>
            </w:r>
          </w:p>
        </w:tc>
        <w:tc>
          <w:p>
            <w:pPr>
              <w:pStyle w:val="Compact"/>
            </w:pPr>
          </w:p>
        </w:tc>
        <w:tc>
          <w:p>
            <w:pPr>
              <w:pStyle w:val="Compact"/>
            </w:pPr>
          </w:p>
        </w:tc>
      </w:tr>
      <w:tr>
        <w:tc>
          <w:p>
            <w:pPr>
              <w:pStyle w:val="Compact"/>
              <w:jc w:val="right"/>
              <w:numPr>
                <w:numId w:val="1000"/>
                <w:ilvl w:val="0"/>
              </w:numPr>
            </w:pPr>
            <w:r>
              <w:t xml:space="preserve">99%</w:t>
            </w:r>
          </w:p>
        </w:tc>
        <w:tc>
          <w:p>
            <w:pPr>
              <w:pStyle w:val="Compact"/>
            </w:pPr>
          </w:p>
        </w:tc>
        <w:tc>
          <w:p>
            <w:pPr>
              <w:pStyle w:val="Compact"/>
            </w:pPr>
          </w:p>
        </w:tc>
      </w:tr>
      <w:tr>
        <w:tc>
          <w:p>
            <w:pPr>
              <w:pStyle w:val="Compact"/>
              <w:jc w:val="right"/>
              <w:numPr>
                <w:numId w:val="1000"/>
                <w:ilvl w:val="0"/>
              </w:numPr>
            </w:pPr>
            <w:r>
              <w:t xml:space="preserve">99.99%</w:t>
            </w:r>
          </w:p>
        </w:tc>
        <w:tc>
          <w:p>
            <w:pPr>
              <w:pStyle w:val="Compact"/>
            </w:pPr>
          </w:p>
        </w:tc>
        <w:tc>
          <w:p>
            <w:pPr>
              <w:pStyle w:val="Compact"/>
            </w:pPr>
          </w:p>
        </w:tc>
      </w:tr>
    </w:tbl>
    <w:p>
      <w:pPr>
        <w:pStyle w:val="Compact"/>
        <w:numPr>
          <w:numId w:val="1007"/>
          <w:ilvl w:val="1"/>
        </w:numPr>
      </w:pPr>
      <w:r>
        <w:t xml:space="preserve">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static/images/50mm-space.png" id="0" name="Picture"/>
                    <pic:cNvPicPr>
                      <a:picLocks noChangeArrowheads="1" noChangeAspect="1"/>
                    </pic:cNvPicPr>
                  </pic:nvPicPr>
                  <pic:blipFill>
                    <a:blip r:embed="rId25"/>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8"/>
          <w:ilvl w:val="1"/>
        </w:numPr>
      </w:pPr>
      <w:r>
        <w:t xml:space="preserve">Similarly, at a fixed confidence level, try several different sample sizes and measure the length of the confidence interval.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pPr>
              <w:pStyle w:val="Compact"/>
            </w:pPr>
          </w:p>
        </w:tc>
        <w:tc>
          <w:p>
            <w:pPr>
              <w:pStyle w:val="Compact"/>
            </w:pPr>
          </w:p>
        </w:tc>
      </w:tr>
      <w:tr>
        <w:tc>
          <w:p>
            <w:pPr>
              <w:pStyle w:val="Compact"/>
              <w:jc w:val="right"/>
            </w:pPr>
            <w:r>
              <w:t xml:space="preserve">100</w:t>
            </w:r>
          </w:p>
        </w:tc>
        <w:tc>
          <w:p>
            <w:pPr>
              <w:pStyle w:val="Compact"/>
            </w:pPr>
          </w:p>
        </w:tc>
        <w:tc>
          <w:p>
            <w:pPr>
              <w:pStyle w:val="Compact"/>
            </w:pPr>
          </w:p>
        </w:tc>
      </w:tr>
      <w:tr>
        <w:tc>
          <w:p>
            <w:pPr>
              <w:pStyle w:val="Compact"/>
              <w:jc w:val="right"/>
            </w:pPr>
            <w:r>
              <w:t xml:space="preserve">500</w:t>
            </w:r>
          </w:p>
        </w:tc>
        <w:tc>
          <w:p>
            <w:pPr>
              <w:pStyle w:val="Compact"/>
            </w:pPr>
          </w:p>
        </w:tc>
        <w:tc>
          <w:p>
            <w:pPr>
              <w:pStyle w:val="Compact"/>
            </w:pPr>
          </w:p>
        </w:tc>
      </w:tr>
      <w:tr>
        <w:tc>
          <w:p>
            <w:pPr>
              <w:pStyle w:val="Compact"/>
              <w:jc w:val="right"/>
            </w:pPr>
            <w:r>
              <w:t xml:space="preserve">1000</w:t>
            </w:r>
          </w:p>
        </w:tc>
        <w:tc>
          <w:p>
            <w:pPr>
              <w:pStyle w:val="Compact"/>
            </w:pPr>
          </w:p>
        </w:tc>
        <w:tc>
          <w:p>
            <w:pPr>
              <w:pStyle w:val="Compact"/>
            </w:pPr>
          </w:p>
        </w:tc>
      </w:tr>
      <w:tr>
        <w:tc>
          <w:p>
            <w:pPr>
              <w:pStyle w:val="Compact"/>
              <w:jc w:val="right"/>
            </w:pPr>
            <w:r>
              <w:t xml:space="preserve">5000</w:t>
            </w:r>
          </w:p>
        </w:tc>
        <w:tc>
          <w:p>
            <w:pPr>
              <w:pStyle w:val="Compact"/>
            </w:pPr>
          </w:p>
        </w:tc>
        <w:tc>
          <w:p>
            <w:pPr>
              <w:pStyle w:val="Compact"/>
            </w:pPr>
          </w:p>
        </w:tc>
      </w:tr>
    </w:tbl>
    <w:p>
      <w:r>
        <w:pict>
          <v:rect style="width:0;height:1.5pt" o:hralign="center" o:hrstd="t" o:hr="t"/>
        </w:pict>
      </w:r>
    </w:p>
    <w:p>
      <w:pPr>
        <w:pStyle w:val="FirstParagraph"/>
      </w:pPr>
      <w:r>
        <w:t xml:space="preserve">Version 0.2, 2019-05-29, Rona Axelrod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https://dtkaplan.shinyapps.io/LA_sampling_bias/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13">
    <w:nsid w:val="4fbe019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
  <cp:keywords/>
  <dcterms:created xsi:type="dcterms:W3CDTF">2019-05-29T13:58:35Z</dcterms:created>
  <dcterms:modified xsi:type="dcterms:W3CDTF">2019-05-29T13:58:35Z</dcterms:modified>
</cp:coreProperties>
</file>