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Author"/>
      </w:pP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Then, when describing the relationship, it’s always a matter of describing the response variable</w:t>
      </w:r>
      <w:r>
        <w:t xml:space="preserve"> </w:t>
      </w:r>
      <w:r>
        <w:rPr>
          <w:i/>
        </w:rPr>
        <w:t xml:space="preserve">with respect to</w:t>
      </w:r>
      <w:r>
        <w:t xml:space="preserve"> </w:t>
      </w:r>
      <w:r>
        <w:t xml:space="preserve">the explanatory variable. So, if Response and Explanatory were the names of the two women, the relationship would always be stated as</w:t>
      </w:r>
      <w:r>
        <w:t xml:space="preserve"> </w:t>
      </w:r>
      <w:r>
        <w:t xml:space="preserve">“</w:t>
      </w:r>
      <w:r>
        <w:t xml:space="preserve">Response is the ______ of Explanatory</w:t>
      </w:r>
      <w:r>
        <w:t xml:space="preserve">”</w:t>
      </w:r>
      <w:r>
        <w:t xml:space="preserve"> </w:t>
      </w:r>
      <w:r>
        <w:t xml:space="preserve">or</w:t>
      </w:r>
      <w:r>
        <w:t xml:space="preserve"> </w:t>
      </w:r>
      <w:r>
        <w:t xml:space="preserve">“</w:t>
      </w:r>
      <w:r>
        <w:t xml:space="preserve">As Explanatory changes by ____, Reponse changes by ____ .</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be clear indicating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Strickly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Little_App_Regression</w:t>
              </w:r>
            </w:hyperlink>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3">
              <w:r>
                <w:rPr>
                  <w:rStyle w:val="Hyperlink"/>
                </w:rPr>
                <w:t xml:space="preserve">Little_app_T</w:t>
              </w:r>
            </w:hyperlink>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Little_App_Regression</w:t>
              </w:r>
            </w:hyperlink>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linear regression</w:t>
            </w:r>
          </w:p>
        </w:tc>
        <w:tc>
          <w:p>
            <w:pPr>
              <w:pStyle w:val="Compact"/>
              <w:jc w:val="left"/>
            </w:pPr>
            <w:hyperlink r:id="rId22">
              <w:r>
                <w:rPr>
                  <w:rStyle w:val="Hyperlink"/>
                </w:rPr>
                <w:t xml:space="preserve">Little_App_Regression</w:t>
              </w:r>
            </w:hyperlink>
          </w:p>
        </w:tc>
      </w:tr>
    </w:tbl>
    <w:p>
      <w:pPr>
        <w:pStyle w:val="BodyText"/>
      </w:pPr>
      <w:r>
        <w:t xml:space="preserve">Depending on where you are in you statistics course, you might have not yet encountered one of these techniques or the other.</w:t>
      </w:r>
    </w:p>
    <w:p>
      <w:pPr>
        <w:pStyle w:val="BodyText"/>
      </w:pPr>
      <w:r>
        <w:t xml:space="preserve">We’re going to give you a few pairs of variables. For each pair, you are to:</w:t>
      </w:r>
    </w:p>
    <w:p>
      <w:pPr>
        <w:numPr>
          <w:numId w:val="1002"/>
          <w:ilvl w:val="0"/>
        </w:numPr>
      </w:pPr>
      <w:r>
        <w:t xml:space="preserve">View the data with Regression, using the</w:t>
      </w:r>
      <w:r>
        <w:t xml:space="preserve"> </w:t>
      </w:r>
      <w:hyperlink r:id="rId22">
        <w:r>
          <w:rPr>
            <w:rStyle w:val="Hyperlink"/>
          </w:rPr>
          <w:t xml:space="preserve">Little_app_Regression</w:t>
        </w:r>
      </w:hyperlink>
      <w:r>
        <w:t xml:space="preserve">.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2"/>
          <w:ilvl w:val="0"/>
        </w:numPr>
      </w:pPr>
      <w:r>
        <w:t xml:space="preserve">Use the Regression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numPr>
          <w:numId w:val="1002"/>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pStyle w:val="Compact"/>
        <w:numPr>
          <w:numId w:val="1003"/>
          <w:ilvl w:val="1"/>
        </w:numPr>
      </w:pPr>
      <w:r>
        <w:t xml:space="preserve">Make an appropriate choice of response and explanatory variables using the rules of thumb above. Since some of these depend on the shape of your particular interest in the variables, your choice might be different from a classmate’s.</w:t>
      </w:r>
    </w:p>
    <w:p>
      <w:pPr>
        <w:pStyle w:val="Compact"/>
        <w:numPr>
          <w:numId w:val="1003"/>
          <w:ilvl w:val="1"/>
        </w:numPr>
      </w:pPr>
      <w:r>
        <w:t xml:space="preserve">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numPr>
          <w:numId w:val="1002"/>
          <w:ilvl w:val="0"/>
        </w:numPr>
      </w:pPr>
      <w:r>
        <w:t xml:space="preserve">Open up the appropriate Little App from step (3) and turn on whatever statistics you need to describe the relationship. (In some Little Apps, this is on by default.) Give an appropriate English-language description of the relationship. Some of the terms you might use are</w:t>
      </w:r>
      <w:r>
        <w:t xml:space="preserve"> </w:t>
      </w:r>
      <w:r>
        <w:t xml:space="preserve">“</w:t>
      </w:r>
      <w:r>
        <w:t xml:space="preserve">upward sloping,</w:t>
      </w:r>
      <w:r>
        <w:t xml:space="preserve">”</w:t>
      </w:r>
      <w:r>
        <w:t xml:space="preserve"> </w:t>
      </w:r>
      <w:r>
        <w:t xml:space="preserve">“</w:t>
      </w:r>
      <w:r>
        <w:t xml:space="preserve">downward sloping</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pStyle w:val="Compact"/>
        <w:numPr>
          <w:numId w:val="1004"/>
          <w:ilvl w:val="1"/>
        </w:numPr>
      </w:pPr>
      <w:r>
        <w:t xml:space="preserve">Decide which one you want to designate as the response variable, and which one the explanatory variable.</w:t>
      </w:r>
    </w:p>
    <w:p>
      <w:pPr>
        <w:numPr>
          <w:numId w:val="1002"/>
          <w:ilvl w:val="0"/>
        </w:numPr>
      </w:pPr>
      <w:r>
        <w:t xml:space="preserve">Say whether the relationship (if any) shown by the statistics in the Little App is clearer than the relationship you discerned in step (2) from the point plot.</w:t>
      </w:r>
    </w:p>
    <w:p>
      <w:pPr>
        <w:numPr>
          <w:numId w:val="1002"/>
          <w:ilvl w:val="0"/>
        </w:numPr>
      </w:pPr>
      <w:r>
        <w:t xml:space="preserve">Consider causation. Sometimes causation is a matter of common sense (the rising sun causes the rooster to crow), and sometimes it can be subtle or is a matter of your beliefs about how things work in the world. No matter, it is always one of a small set of possibilities. The simplest to understand are these three:</w:t>
      </w:r>
    </w:p>
    <w:p>
      <w:pPr>
        <w:pStyle w:val="Compact"/>
        <w:numPr>
          <w:numId w:val="1005"/>
          <w:ilvl w:val="1"/>
        </w:numPr>
      </w:pPr>
      <w:r>
        <w:t xml:space="preserve">A causes B.</w:t>
      </w:r>
    </w:p>
    <w:p>
      <w:pPr>
        <w:pStyle w:val="Compact"/>
        <w:numPr>
          <w:numId w:val="1005"/>
          <w:ilvl w:val="1"/>
        </w:numPr>
      </w:pPr>
      <w:r>
        <w:t xml:space="preserve">B causes A.</w:t>
      </w:r>
    </w:p>
    <w:p>
      <w:pPr>
        <w:pStyle w:val="Compact"/>
        <w:numPr>
          <w:numId w:val="1005"/>
          <w:ilvl w:val="1"/>
        </w:numPr>
      </w:pPr>
      <w:r>
        <w:t xml:space="preserve">A &amp; B are both caused in common by another factor, C. (This is called a</w:t>
      </w:r>
      <w:r>
        <w:t xml:space="preserve"> </w:t>
      </w:r>
      <w:r>
        <w:t xml:space="preserve">“</w:t>
      </w:r>
      <w:r>
        <w:t xml:space="preserve">common cause</w:t>
      </w:r>
      <w:r>
        <w:t xml:space="preserve">”</w:t>
      </w:r>
      <w:r>
        <w:t xml:space="preserve"> </w:t>
      </w:r>
      <w:r>
        <w:t xml:space="preserve">relationship.)</w:t>
      </w:r>
    </w:p>
    <w:p>
      <w:pPr>
        <w:numPr>
          <w:numId w:val="1000"/>
          <w:ilvl w:val="0"/>
        </w:numPr>
      </w:pPr>
      <w:r>
        <w:t xml:space="preserve">More subtle, and harder to understand even for professionals, is this one:</w:t>
      </w:r>
    </w:p>
    <w:p>
      <w:pPr>
        <w:pStyle w:val="Compact"/>
        <w:numPr>
          <w:numId w:val="1006"/>
          <w:ilvl w:val="1"/>
        </w:numPr>
      </w:pPr>
      <w:r>
        <w:t xml:space="preserve">A &amp; B both cause another factor C, and the data include only some of the possible range of values of C. (This is called a</w:t>
      </w:r>
      <w:r>
        <w:t xml:space="preserve"> </w:t>
      </w:r>
      <w:r>
        <w:t xml:space="preserve">“</w:t>
      </w:r>
      <w:r>
        <w:t xml:space="preserve">collider</w:t>
      </w:r>
      <w:r>
        <w:t xml:space="preserve">”</w:t>
      </w:r>
      <w:r>
        <w:t xml:space="preserve"> </w:t>
      </w:r>
      <w:r>
        <w:t xml:space="preserve">relationship.)</w:t>
      </w:r>
    </w:p>
    <w:p>
      <w:pPr>
        <w:numPr>
          <w:numId w:val="1000"/>
          <w:ilvl w:val="0"/>
        </w:numPr>
      </w:pPr>
      <w:r>
        <w:t xml:space="preserve">Tasks</w:t>
      </w:r>
    </w:p>
    <w:p>
      <w:pPr>
        <w:pStyle w:val="Compact"/>
        <w:numPr>
          <w:numId w:val="1007"/>
          <w:ilvl w:val="1"/>
        </w:numPr>
      </w:pPr>
      <w:r>
        <w:t xml:space="preserve">Thinking about the two variables you are studying, decide whether the relationship (if there is one) is in the form of (a) or (b) or (c). Keep in mind that you can’t tell which one of these is from the data alone: it depends on your knowledge and opinions of how the world works.</w:t>
      </w:r>
    </w:p>
    <w:p>
      <w:pPr>
        <w:pStyle w:val="Compact"/>
        <w:numPr>
          <w:numId w:val="1007"/>
          <w:ilvl w:val="1"/>
        </w:numPr>
      </w:pPr>
      <w:r>
        <w:t xml:space="preserve">Does your choice of response and explanatory variables align with the causal mechanism you chose?</w:t>
      </w:r>
    </w:p>
    <w:p>
      <w:pPr>
        <w:numPr>
          <w:numId w:val="1002"/>
          <w:ilvl w:val="0"/>
        </w:numPr>
      </w:pPr>
      <w:r>
        <w:t xml:space="preserve">Consider prediction. Prediction may or may not relate to causation. (Example: Someone’s post on a dating app may help predict what kind of person they are. But probably the kind of person they are is what causes the post to be what it is.) For the purposes of prediction, (1) the explanatory variable must be known</w:t>
      </w:r>
      <w:r>
        <w:t xml:space="preserve"> </w:t>
      </w:r>
      <w:r>
        <w:rPr>
          <w:i/>
        </w:rPr>
        <w:t xml:space="preserve">before</w:t>
      </w:r>
      <w:r>
        <w:t xml:space="preserve"> </w:t>
      </w:r>
      <w:r>
        <w:t xml:space="preserve">you find out the response variable. (Otherwise, why bother to predict the response variable? You know it.) And, generally, (2) the explanatory variable will be something that’s relatively easy to measure, while the response is harder to measure. (Example: antigens in blood are relatively easy to measure, while past exposure to a disease is not known.)</w:t>
      </w:r>
    </w:p>
    <w:p>
      <w:pPr>
        <w:pStyle w:val="Compact"/>
        <w:numPr>
          <w:numId w:val="1008"/>
          <w:ilvl w:val="1"/>
        </w:numPr>
      </w:pPr>
      <w:r>
        <w:t xml:space="preserve">Say whether your choice of response and explanatory variables make sense if your goal were to predict the response from the explanatory variable.</w:t>
      </w:r>
    </w:p>
    <w:p>
      <w:pPr>
        <w:pStyle w:val="Heading2"/>
      </w:pPr>
      <w:bookmarkStart w:id="24" w:name="some-pairs-of-variables"/>
      <w:r>
        <w:t xml:space="preserve">Some pairs of variables</w:t>
      </w:r>
      <w:bookmarkEnd w:id="24"/>
    </w:p>
    <w:p>
      <w:pPr>
        <w:pStyle w:val="FirstParagraph"/>
      </w:pPr>
      <w:r>
        <w:t xml:space="preserve">These variables are found in the data available through the Little App. For simplicity, we’re using only those categorical variables that have just two levels.</w:t>
      </w:r>
    </w:p>
    <w:p>
      <w:pPr>
        <w:pStyle w:val="Compact"/>
        <w:numPr>
          <w:numId w:val="1009"/>
          <w:ilvl w:val="0"/>
        </w:numPr>
      </w:pPr>
      <w:r>
        <w:t xml:space="preserve">Source Package:</w:t>
      </w:r>
      <w:r>
        <w:t xml:space="preserve"> </w:t>
      </w:r>
      <w:r>
        <w:rPr>
          <w:rStyle w:val="VerbatimChar"/>
        </w:rPr>
        <w:t xml:space="preserve">Little Apps</w:t>
      </w:r>
      <w:r>
        <w:t xml:space="preserve">, Data set:</w:t>
      </w:r>
      <w:r>
        <w:t xml:space="preserve"> </w:t>
      </w:r>
      <w:r>
        <w:rPr>
          <w:rStyle w:val="VerbatimChar"/>
        </w:rPr>
        <w:t xml:space="preserve">Natality_2014</w:t>
      </w:r>
    </w:p>
    <w:p>
      <w:pPr>
        <w:pStyle w:val="Compact"/>
        <w:numPr>
          <w:numId w:val="1010"/>
          <w:ilvl w:val="1"/>
        </w:numPr>
      </w:pPr>
      <w:r>
        <w:t xml:space="preserve">Whether the mother is covered by the WIC program and the age of mother.</w:t>
      </w:r>
    </w:p>
    <w:p>
      <w:pPr>
        <w:pStyle w:val="Compact"/>
        <w:numPr>
          <w:numId w:val="1010"/>
          <w:ilvl w:val="1"/>
        </w:numPr>
      </w:pPr>
      <w:r>
        <w:t xml:space="preserve">The age of the mother and of the father.</w:t>
      </w:r>
    </w:p>
    <w:p>
      <w:pPr>
        <w:pStyle w:val="Compact"/>
        <w:numPr>
          <w:numId w:val="1010"/>
          <w:ilvl w:val="1"/>
        </w:numPr>
      </w:pPr>
      <w:r>
        <w:t xml:space="preserve">The length of gestation and the baby’s weight at birth.</w:t>
      </w:r>
    </w:p>
    <w:p>
      <w:pPr>
        <w:pStyle w:val="Compact"/>
        <w:numPr>
          <w:numId w:val="1009"/>
          <w:ilvl w:val="0"/>
        </w:numPr>
      </w:pPr>
      <w:r>
        <w:t xml:space="preserve">Source Package:</w:t>
      </w:r>
      <w:r>
        <w:t xml:space="preserve"> </w:t>
      </w:r>
      <w:r>
        <w:rPr>
          <w:rStyle w:val="VerbatimChar"/>
        </w:rPr>
        <w:t xml:space="preserve">Little Apps</w:t>
      </w:r>
      <w:r>
        <w:t xml:space="preserve">, Data set</w:t>
      </w:r>
      <w:r>
        <w:rPr>
          <w:rStyle w:val="VerbatimChar"/>
        </w:rPr>
        <w:t xml:space="preserve">NHANES2</w:t>
      </w:r>
    </w:p>
    <w:p>
      <w:pPr>
        <w:pStyle w:val="Compact"/>
        <w:numPr>
          <w:numId w:val="1011"/>
          <w:ilvl w:val="1"/>
        </w:numPr>
      </w:pPr>
      <w:r>
        <w:t xml:space="preserve">Systolic blood pressure and sex.</w:t>
      </w:r>
    </w:p>
    <w:p>
      <w:pPr>
        <w:pStyle w:val="Compact"/>
        <w:numPr>
          <w:numId w:val="1011"/>
          <w:ilvl w:val="1"/>
        </w:numPr>
      </w:pPr>
      <w:r>
        <w:t xml:space="preserve">Diabetes and age</w:t>
      </w:r>
    </w:p>
    <w:p>
      <w:pPr>
        <w:pStyle w:val="Compact"/>
        <w:numPr>
          <w:numId w:val="1011"/>
          <w:ilvl w:val="1"/>
        </w:numPr>
      </w:pPr>
      <w:r>
        <w:t xml:space="preserve">Weight and body mass index (BMI)</w:t>
      </w:r>
    </w:p>
    <w:p>
      <w:pPr>
        <w:pStyle w:val="Compact"/>
        <w:numPr>
          <w:numId w:val="1011"/>
          <w:ilvl w:val="1"/>
        </w:numPr>
      </w:pPr>
      <w:r>
        <w:t xml:space="preserve">Income and</w:t>
      </w:r>
      <w:r>
        <w:t xml:space="preserve"> </w:t>
      </w:r>
      <w:r>
        <w:rPr>
          <w:rStyle w:val="VerbatimChar"/>
        </w:rPr>
        <w:t xml:space="preserve">home_type</w:t>
      </w:r>
    </w:p>
    <w:p>
      <w:pPr>
        <w:pStyle w:val="Compact"/>
        <w:numPr>
          <w:numId w:val="1009"/>
          <w:ilvl w:val="0"/>
        </w:numPr>
      </w:pPr>
      <w:r>
        <w:t xml:space="preserve">Source Package:</w:t>
      </w:r>
      <w:r>
        <w:t xml:space="preserve"> </w:t>
      </w:r>
      <w:r>
        <w:rPr>
          <w:rStyle w:val="VerbatimChar"/>
        </w:rPr>
        <w:t xml:space="preserve">mosaic</w:t>
      </w:r>
      <w:r>
        <w:t xml:space="preserve">, Data set</w:t>
      </w:r>
      <w:r>
        <w:rPr>
          <w:rStyle w:val="VerbatimChar"/>
        </w:rPr>
        <w:t xml:space="preserve">CPS85</w:t>
      </w:r>
    </w:p>
    <w:p>
      <w:pPr>
        <w:pStyle w:val="Compact"/>
        <w:numPr>
          <w:numId w:val="1012"/>
          <w:ilvl w:val="1"/>
        </w:numPr>
      </w:pPr>
      <w:r>
        <w:t xml:space="preserve">The age of a person and wage of the person.</w:t>
      </w:r>
    </w:p>
    <w:p>
      <w:pPr>
        <w:pStyle w:val="Compact"/>
        <w:numPr>
          <w:numId w:val="1012"/>
          <w:ilvl w:val="1"/>
        </w:numPr>
      </w:pPr>
      <w:r>
        <w:t xml:space="preserve">The sex of a person and wage of the person.</w:t>
      </w:r>
    </w:p>
    <w:p>
      <w:r>
        <w:pict>
          <v:rect style="width:0;height:1.5pt" o:hralign="center" o:hrstd="t" o:hr="t"/>
        </w:pict>
      </w:r>
    </w:p>
    <w:p>
      <w:pPr>
        <w:pStyle w:val="FirstParagraph"/>
      </w:pPr>
      <w:r>
        <w:t xml:space="preserve">Version 0.3, 2020-08-27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Regression/" TargetMode="External" /><Relationship Type="http://schemas.openxmlformats.org/officeDocument/2006/relationships/hyperlink" Id="rId23"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Regression/" TargetMode="External" /><Relationship Type="http://schemas.openxmlformats.org/officeDocument/2006/relationships/hyperlink" Id="rId23"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Daniel Kaplan</dc:creator>
  <cp:keywords/>
  <dcterms:created xsi:type="dcterms:W3CDTF">2020-08-27T14:36:52Z</dcterms:created>
  <dcterms:modified xsi:type="dcterms:W3CDTF">2020-08-27T14:36:52Z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