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Introducing</w:t>
      </w:r>
      <w:r>
        <w:t xml:space="preserve"> </w:t>
      </w:r>
      <w:r>
        <w:t xml:space="preserve">linear</w:t>
      </w:r>
      <w:r>
        <w:t xml:space="preserve"> </w:t>
      </w:r>
      <w:r>
        <w:t xml:space="preserve">regression</w:t>
      </w:r>
    </w:p>
    <w:p>
      <w:pPr>
        <w:pStyle w:val="Date"/>
      </w:pPr>
      <w:r>
        <w:t xml:space="preserve">StatPREP</w:t>
      </w:r>
      <w:r>
        <w:t xml:space="preserve"> </w:t>
      </w:r>
      <w:r>
        <w:t xml:space="preserve">Class</w:t>
      </w:r>
      <w:r>
        <w:t xml:space="preserve"> </w:t>
      </w:r>
      <w:r>
        <w:t xml:space="preserve">Activity</w:t>
      </w:r>
    </w:p>
    <w:p>
      <w:pPr>
        <w:pStyle w:val="Heading2"/>
      </w:pPr>
      <w:bookmarkStart w:id="20" w:name="showing-various-sorts-of-relationships-for-discussion"/>
      <w:r>
        <w:t xml:space="preserve">Showing various sorts of relationships for discussion</w:t>
      </w:r>
      <w:bookmarkEnd w:id="20"/>
    </w:p>
    <w:p>
      <w:pPr>
        <w:pStyle w:val="FirstParagraph"/>
      </w:pPr>
      <w:r>
        <w:t xml:space="preserve">Open up the</w:t>
      </w:r>
      <w:r>
        <w:t xml:space="preserve"> </w:t>
      </w:r>
      <w:hyperlink r:id="rId21">
        <w:r>
          <w:rPr>
            <w:rStyle w:val="Hyperlink"/>
          </w:rPr>
          <w:t xml:space="preserve">linear regression Little App</w:t>
        </w:r>
      </w:hyperlink>
      <w:r>
        <w:t xml:space="preserve">. (See footnote</w:t>
      </w:r>
      <w:r>
        <w:rPr>
          <w:rStyle w:val="FootnoteReference"/>
        </w:rPr>
        <w:footnoteReference w:id="22"/>
      </w:r>
      <w:r>
        <w:t xml:space="preserve">). In this activity we’ll explore three different data sets available through the app. For each data set, the variable indicated below plays the role of the response variable. Some explanatory variables are listed as sub-points.</w:t>
      </w:r>
    </w:p>
    <w:p>
      <w:pPr>
        <w:pStyle w:val="Compact"/>
        <w:numPr>
          <w:numId w:val="1001"/>
          <w:ilvl w:val="0"/>
        </w:numPr>
      </w:pPr>
      <w:r>
        <w:t xml:space="preserve">Data set:</w:t>
      </w:r>
      <w:r>
        <w:t xml:space="preserve"> </w:t>
      </w:r>
      <w:r>
        <w:rPr>
          <w:rStyle w:val="VerbatimChar"/>
        </w:rPr>
        <w:t xml:space="preserve">NHANES</w:t>
      </w:r>
      <w:r>
        <w:t xml:space="preserve">. Response variable: BMI. It’s important for students to know what BMI is.</w:t>
      </w:r>
      <w:r>
        <w:t xml:space="preserve"> </w:t>
      </w:r>
      <w:hyperlink r:id="rId23">
        <w:r>
          <w:rPr>
            <w:rStyle w:val="Hyperlink"/>
          </w:rPr>
          <w:t xml:space="preserve">Explanation from the CDC</w:t>
        </w:r>
      </w:hyperlink>
      <w:r>
        <w:t xml:space="preserve"> </w:t>
      </w:r>
      <w:r>
        <w:t xml:space="preserve">&amp;</w:t>
      </w:r>
      <w:r>
        <w:t xml:space="preserve"> </w:t>
      </w:r>
      <w:hyperlink r:id="rId24">
        <w:r>
          <w:rPr>
            <w:rStyle w:val="Hyperlink"/>
          </w:rPr>
          <w:t xml:space="preserve">BMI calculator for students</w:t>
        </w:r>
      </w:hyperlink>
      <w:r>
        <w:t xml:space="preserve">.</w:t>
      </w:r>
    </w:p>
    <w:p>
      <w:pPr>
        <w:pStyle w:val="Compact"/>
        <w:numPr>
          <w:numId w:val="1002"/>
          <w:ilvl w:val="1"/>
        </w:numPr>
      </w:pPr>
      <w:r>
        <w:t xml:space="preserve">age (r = 0.5 reasonable scatterplot to assume linearity)</w:t>
      </w:r>
    </w:p>
    <w:p>
      <w:pPr>
        <w:pStyle w:val="Compact"/>
        <w:numPr>
          <w:numId w:val="1002"/>
          <w:ilvl w:val="1"/>
        </w:numPr>
      </w:pPr>
      <w:r>
        <w:t xml:space="preserve">income (r = -0.07) shows a very diffuse scatter plot but also helps demo the app to students.</w:t>
      </w:r>
    </w:p>
    <w:p>
      <w:pPr>
        <w:pStyle w:val="Compact"/>
        <w:numPr>
          <w:numId w:val="1002"/>
          <w:ilvl w:val="1"/>
        </w:numPr>
      </w:pPr>
      <w:r>
        <w:t xml:space="preserve">pulse: weak relationship</w:t>
      </w:r>
    </w:p>
    <w:p>
      <w:pPr>
        <w:pStyle w:val="Compact"/>
        <w:numPr>
          <w:numId w:val="1002"/>
          <w:ilvl w:val="1"/>
        </w:numPr>
      </w:pPr>
      <w:r>
        <w:t xml:space="preserve">systolic: weak-to-moderate relationship</w:t>
      </w:r>
    </w:p>
    <w:p>
      <w:pPr>
        <w:pStyle w:val="Compact"/>
        <w:numPr>
          <w:numId w:val="1002"/>
          <w:ilvl w:val="1"/>
        </w:numPr>
      </w:pPr>
      <w:r>
        <w:t xml:space="preserve">diastolic: has outliers</w:t>
      </w:r>
    </w:p>
    <w:p>
      <w:pPr>
        <w:pStyle w:val="Compact"/>
        <w:numPr>
          <w:numId w:val="1002"/>
          <w:ilvl w:val="1"/>
        </w:numPr>
      </w:pPr>
      <w:r>
        <w:t xml:space="preserve">sleep_hour: weak-to-moderate. But has a negative relationship</w:t>
      </w:r>
    </w:p>
    <w:p>
      <w:pPr>
        <w:pStyle w:val="Compact"/>
        <w:numPr>
          <w:numId w:val="1001"/>
          <w:ilvl w:val="0"/>
        </w:numPr>
      </w:pPr>
      <w:r>
        <w:t xml:space="preserve">Data set:</w:t>
      </w:r>
      <w:r>
        <w:t xml:space="preserve"> </w:t>
      </w:r>
      <w:r>
        <w:rPr>
          <w:rStyle w:val="VerbatimChar"/>
        </w:rPr>
        <w:t xml:space="preserve">CPS85</w:t>
      </w:r>
      <w:r>
        <w:t xml:space="preserve">. Response variable: wage</w:t>
      </w:r>
    </w:p>
    <w:p>
      <w:pPr>
        <w:pStyle w:val="Compact"/>
        <w:numPr>
          <w:numId w:val="1003"/>
          <w:ilvl w:val="1"/>
        </w:numPr>
      </w:pPr>
      <w:r>
        <w:t xml:space="preserve">age</w:t>
      </w:r>
    </w:p>
    <w:p>
      <w:pPr>
        <w:pStyle w:val="Compact"/>
        <w:numPr>
          <w:numId w:val="1003"/>
          <w:ilvl w:val="1"/>
        </w:numPr>
      </w:pPr>
      <w:r>
        <w:t xml:space="preserve">education</w:t>
      </w:r>
    </w:p>
    <w:p>
      <w:pPr>
        <w:pStyle w:val="Compact"/>
        <w:numPr>
          <w:numId w:val="1001"/>
          <w:ilvl w:val="0"/>
        </w:numPr>
      </w:pPr>
      <w:r>
        <w:t xml:space="preserve">Data set:</w:t>
      </w:r>
      <w:r>
        <w:t xml:space="preserve"> </w:t>
      </w:r>
      <w:r>
        <w:rPr>
          <w:rStyle w:val="VerbatimChar"/>
        </w:rPr>
        <w:t xml:space="preserve">Births_2014</w:t>
      </w:r>
      <w:r>
        <w:t xml:space="preserve"> </w:t>
      </w:r>
      <w:r>
        <w:t xml:space="preserve">Response variable: mother’s age</w:t>
      </w:r>
    </w:p>
    <w:p>
      <w:pPr>
        <w:pStyle w:val="Compact"/>
        <w:numPr>
          <w:numId w:val="1004"/>
          <w:ilvl w:val="1"/>
        </w:numPr>
      </w:pPr>
      <w:r>
        <w:t xml:space="preserve">father’s age. Moderate size correlation. Ask what it means</w:t>
      </w:r>
    </w:p>
    <w:p>
      <w:pPr>
        <w:pStyle w:val="Heading2"/>
      </w:pPr>
      <w:bookmarkStart w:id="25" w:name="open-ended-exploring"/>
      <w:r>
        <w:t xml:space="preserve">Open-ended exploring</w:t>
      </w:r>
      <w:bookmarkEnd w:id="25"/>
    </w:p>
    <w:p>
      <w:pPr>
        <w:pStyle w:val="Heading2"/>
      </w:pPr>
      <w:bookmarkStart w:id="26" w:name="consider-systolic-blood-pressure-from-the-nhanes-data."/>
      <w:r>
        <w:t xml:space="preserve">Consider systolic blood pressure from the</w:t>
      </w:r>
      <w:r>
        <w:t xml:space="preserve"> </w:t>
      </w:r>
      <w:r>
        <w:rPr>
          <w:rStyle w:val="VerbatimChar"/>
        </w:rPr>
        <w:t xml:space="preserve">NHANES</w:t>
      </w:r>
      <w:r>
        <w:t xml:space="preserve"> </w:t>
      </w:r>
      <w:r>
        <w:t xml:space="preserve">data.</w:t>
      </w:r>
      <w:bookmarkEnd w:id="26"/>
    </w:p>
    <w:p>
      <w:pPr>
        <w:pStyle w:val="FirstParagraph"/>
      </w:pPr>
      <w:r>
        <w:rPr>
          <w:b/>
        </w:rPr>
        <w:t xml:space="preserve">Background</w:t>
      </w:r>
      <w:r>
        <w:t xml:space="preserve">: Explain to students what is the difference between the systolic and diastolic blood pressure. Each time the heart beats, the blood pressure in the arteries goes up. It quickly rises to a maximum and then decays until the next beat. Systolic is the maximum blood pressure each beat, diastolic the minimum. The</w:t>
      </w:r>
      <w:r>
        <w:t xml:space="preserve"> </w:t>
      </w:r>
      <w:r>
        <w:t xml:space="preserve">“</w:t>
      </w:r>
      <w:r>
        <w:t xml:space="preserve">pulse pressure</w:t>
      </w:r>
      <w:r>
        <w:t xml:space="preserve">”</w:t>
      </w:r>
      <w:r>
        <w:t xml:space="preserve"> </w:t>
      </w:r>
      <w:r>
        <w:t xml:space="preserve">is the difference between the two. See this site on</w:t>
      </w:r>
      <w:r>
        <w:t xml:space="preserve"> </w:t>
      </w:r>
      <w:hyperlink r:id="rId27">
        <w:r>
          <w:rPr>
            <w:rStyle w:val="Hyperlink"/>
          </w:rPr>
          <w:t xml:space="preserve">blood pressure</w:t>
        </w:r>
      </w:hyperlink>
      <w:r>
        <w:t xml:space="preserve">.</w:t>
      </w:r>
    </w:p>
    <w:p>
      <w:pPr>
        <w:pStyle w:val="BodyText"/>
      </w:pPr>
      <w:r>
        <w:rPr>
          <w:b/>
        </w:rPr>
        <w:t xml:space="preserve">Tasks</w:t>
      </w:r>
    </w:p>
    <w:p>
      <w:pPr>
        <w:numPr>
          <w:numId w:val="1005"/>
          <w:ilvl w:val="0"/>
        </w:numPr>
      </w:pPr>
      <w:r>
        <w:t xml:space="preserve">Determinine three explanatory variables that are predictive of systolic blood pressure.</w:t>
      </w:r>
    </w:p>
    <w:p>
      <w:pPr>
        <w:numPr>
          <w:numId w:val="1000"/>
          <w:ilvl w:val="0"/>
        </w:numPr>
      </w:pPr>
      <w:r>
        <w:rPr>
          <w:i/>
        </w:rPr>
        <w:t xml:space="preserve">Write down the names of the explanatory variables here</w:t>
      </w:r>
      <w:r>
        <w:t xml:space="preserve"> </w:t>
      </w:r>
      <w:r>
        <w:t xml:space="preserve">  .  .  .  </w:t>
      </w:r>
    </w:p>
    <w:p>
      <w:pPr>
        <w:numPr>
          <w:numId w:val="1000"/>
          <w:ilvl w:val="0"/>
        </w:numPr>
      </w:pPr>
      <w:r>
        <w:t xml:space="preserve"> </w:t>
      </w:r>
    </w:p>
    <w:p>
      <w:pPr>
        <w:numPr>
          <w:numId w:val="1005"/>
          <w:ilvl w:val="0"/>
        </w:numPr>
      </w:pPr>
      <w:r>
        <w:t xml:space="preserve">For each of the three variables , list the strength of the relationship both as a fraction of the variation explained and as the change in systolic blood pressure per unit change of the explanatory variable.</w:t>
      </w:r>
    </w:p>
    <w:p>
      <w:pPr>
        <w:numPr>
          <w:numId w:val="1000"/>
          <w:ilvl w:val="0"/>
        </w:numPr>
      </w:pPr>
      <w:r>
        <w:rPr>
          <w:i/>
        </w:rPr>
        <w:t xml:space="preserve">Fill in the table with your answers.</w:t>
      </w:r>
      <w:r>
        <w:t xml:space="preserve"> </w:t>
      </w:r>
      <w:r>
        <w:t xml:space="preserve">  .  .  .  </w:t>
      </w:r>
    </w:p>
    <w:p>
      <w:pPr>
        <w:numPr>
          <w:numId w:val="1000"/>
          <w:ilvl w:val="0"/>
        </w:numPr>
      </w:pPr>
      <w:r>
        <w:t xml:space="preserve"> </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numPr>
                <w:numId w:val="1000"/>
                <w:ilvl w:val="0"/>
              </w:numPr>
            </w:pPr>
            <w:r>
              <w:t xml:space="preserve">variable name</w:t>
            </w:r>
          </w:p>
        </w:tc>
        <w:tc>
          <w:tcPr>
            <w:tcBorders>
              <w:bottom w:val="single"/>
            </w:tcBorders>
            <w:vAlign w:val="bottom"/>
          </w:tcPr>
          <w:p>
            <w:pPr>
              <w:pStyle w:val="Compact"/>
              <w:jc w:val="left"/>
              <w:numPr>
                <w:numId w:val="1000"/>
                <w:ilvl w:val="0"/>
              </w:numPr>
            </w:pPr>
            <w:r>
              <w:t xml:space="preserve">fraction of variation</w:t>
            </w:r>
          </w:p>
        </w:tc>
        <w:tc>
          <w:tcPr>
            <w:tcBorders>
              <w:bottom w:val="single"/>
            </w:tcBorders>
            <w:vAlign w:val="bottom"/>
          </w:tcPr>
          <w:p>
            <w:pPr>
              <w:pStyle w:val="Compact"/>
              <w:jc w:val="left"/>
              <w:numPr>
                <w:numId w:val="1000"/>
                <w:ilvl w:val="0"/>
              </w:numPr>
            </w:pPr>
            <w:r>
              <w:t xml:space="preserve">change of response per unit change in explanatory</w:t>
            </w:r>
          </w:p>
        </w:tc>
      </w:tr>
      <w:tr>
        <w:tc>
          <w:p>
            <w:pPr>
              <w:pStyle w:val="Compact"/>
              <w:jc w:val="left"/>
              <w:numPr>
                <w:numId w:val="1000"/>
                <w:ilvl w:val="0"/>
              </w:numPr>
            </w:pPr>
            <w:r>
              <w:t xml:space="preserve">    </w:t>
            </w:r>
          </w:p>
        </w:tc>
        <w:tc>
          <w:p>
            <w:pPr>
              <w:pStyle w:val="Compact"/>
              <w:jc w:val="left"/>
              <w:numPr>
                <w:numId w:val="1000"/>
                <w:ilvl w:val="0"/>
              </w:numPr>
            </w:pPr>
            <w:r>
              <w:t xml:space="preserve">    </w:t>
            </w:r>
          </w:p>
        </w:tc>
        <w:tc>
          <w:p>
            <w:pPr>
              <w:pStyle w:val="Compact"/>
              <w:jc w:val="left"/>
              <w:numPr>
                <w:numId w:val="1000"/>
                <w:ilvl w:val="0"/>
              </w:numPr>
            </w:pPr>
            <w:r>
              <w:t xml:space="preserve">    </w:t>
            </w:r>
          </w:p>
        </w:tc>
      </w:tr>
      <w:tr>
        <w:tc>
          <w:p>
            <w:pPr>
              <w:pStyle w:val="Compact"/>
              <w:jc w:val="left"/>
              <w:numPr>
                <w:numId w:val="1000"/>
                <w:ilvl w:val="0"/>
              </w:numPr>
            </w:pPr>
            <w:r>
              <w:t xml:space="preserve">    </w:t>
            </w:r>
          </w:p>
        </w:tc>
        <w:tc>
          <w:p>
            <w:pPr>
              <w:pStyle w:val="Compact"/>
              <w:jc w:val="left"/>
              <w:numPr>
                <w:numId w:val="1000"/>
                <w:ilvl w:val="0"/>
              </w:numPr>
            </w:pPr>
            <w:r>
              <w:t xml:space="preserve">    </w:t>
            </w:r>
          </w:p>
        </w:tc>
        <w:tc>
          <w:p>
            <w:pPr>
              <w:pStyle w:val="Compact"/>
              <w:jc w:val="left"/>
              <w:numPr>
                <w:numId w:val="1000"/>
                <w:ilvl w:val="0"/>
              </w:numPr>
            </w:pPr>
            <w:r>
              <w:t xml:space="preserve">    </w:t>
            </w:r>
          </w:p>
        </w:tc>
      </w:tr>
      <w:tr>
        <w:tc>
          <w:p>
            <w:pPr>
              <w:pStyle w:val="Compact"/>
              <w:jc w:val="left"/>
              <w:numPr>
                <w:numId w:val="1000"/>
                <w:ilvl w:val="0"/>
              </w:numPr>
            </w:pPr>
            <w:r>
              <w:t xml:space="preserve">    </w:t>
            </w:r>
          </w:p>
        </w:tc>
        <w:tc>
          <w:p>
            <w:pPr>
              <w:pStyle w:val="Compact"/>
              <w:jc w:val="left"/>
              <w:numPr>
                <w:numId w:val="1000"/>
                <w:ilvl w:val="0"/>
              </w:numPr>
            </w:pPr>
            <w:r>
              <w:t xml:space="preserve">    </w:t>
            </w:r>
          </w:p>
        </w:tc>
        <w:tc>
          <w:p>
            <w:pPr>
              <w:pStyle w:val="Compact"/>
              <w:jc w:val="left"/>
              <w:numPr>
                <w:numId w:val="1000"/>
                <w:ilvl w:val="0"/>
              </w:numPr>
            </w:pPr>
            <w:r>
              <w:t xml:space="preserve">    </w:t>
            </w:r>
          </w:p>
        </w:tc>
      </w:tr>
      <w:tr>
        <w:tc>
          <w:p>
            <w:pPr>
              <w:pStyle w:val="Compact"/>
              <w:jc w:val="left"/>
              <w:numPr>
                <w:numId w:val="1000"/>
                <w:ilvl w:val="0"/>
              </w:numPr>
            </w:pPr>
            <w:r>
              <w:t xml:space="preserve">    </w:t>
            </w:r>
          </w:p>
        </w:tc>
        <w:tc>
          <w:p>
            <w:pPr>
              <w:pStyle w:val="Compact"/>
              <w:jc w:val="left"/>
              <w:numPr>
                <w:numId w:val="1000"/>
                <w:ilvl w:val="0"/>
              </w:numPr>
            </w:pPr>
            <w:r>
              <w:t xml:space="preserve">    </w:t>
            </w:r>
          </w:p>
        </w:tc>
        <w:tc>
          <w:p>
            <w:pPr>
              <w:pStyle w:val="Compact"/>
              <w:jc w:val="left"/>
              <w:numPr>
                <w:numId w:val="1000"/>
                <w:ilvl w:val="0"/>
              </w:numPr>
            </w:pPr>
            <w:r>
              <w:t xml:space="preserve">    </w:t>
            </w:r>
          </w:p>
        </w:tc>
      </w:tr>
      <w:tr>
        <w:tc>
          <w:p>
            <w:pPr>
              <w:pStyle w:val="Compact"/>
              <w:jc w:val="left"/>
              <w:numPr>
                <w:numId w:val="1000"/>
                <w:ilvl w:val="0"/>
              </w:numPr>
            </w:pPr>
            <w:r>
              <w:t xml:space="preserve">    </w:t>
            </w:r>
          </w:p>
        </w:tc>
        <w:tc>
          <w:p>
            <w:pPr>
              <w:pStyle w:val="Compact"/>
              <w:jc w:val="left"/>
              <w:numPr>
                <w:numId w:val="1000"/>
                <w:ilvl w:val="0"/>
              </w:numPr>
            </w:pPr>
            <w:r>
              <w:t xml:space="preserve">    </w:t>
            </w:r>
          </w:p>
        </w:tc>
        <w:tc>
          <w:p>
            <w:pPr>
              <w:pStyle w:val="Compact"/>
              <w:jc w:val="left"/>
              <w:numPr>
                <w:numId w:val="1000"/>
                <w:ilvl w:val="0"/>
              </w:numPr>
            </w:pPr>
            <w:r>
              <w:t xml:space="preserve">    </w:t>
            </w:r>
          </w:p>
        </w:tc>
      </w:tr>
    </w:tbl>
    <w:p>
      <w:pPr>
        <w:numPr>
          <w:numId w:val="1005"/>
          <w:ilvl w:val="0"/>
        </w:numPr>
      </w:pPr>
      <w:r>
        <w:t xml:space="preserve">Then check whether those three explanatory variables explain diastolic blood pressure as well.</w:t>
      </w:r>
    </w:p>
    <w:p>
      <w:pPr>
        <w:numPr>
          <w:numId w:val="1000"/>
          <w:ilvl w:val="0"/>
        </w:numPr>
      </w:pPr>
      <w:r>
        <w:rPr>
          <w:i/>
        </w:rPr>
        <w:t xml:space="preserve">Which of systolic or diastolic blood pressure is better explained by the explanatory variables?</w:t>
      </w:r>
      <w:r>
        <w:t xml:space="preserve"> </w:t>
      </w:r>
      <w:r>
        <w:t xml:space="preserve">  .  .  .  </w:t>
      </w:r>
    </w:p>
    <w:p>
      <w:pPr>
        <w:numPr>
          <w:numId w:val="1000"/>
          <w:ilvl w:val="0"/>
        </w:numPr>
      </w:pPr>
      <w:r>
        <w:t xml:space="preserve"> </w:t>
      </w:r>
    </w:p>
    <w:p>
      <w:pPr>
        <w:pStyle w:val="Heading2"/>
      </w:pPr>
      <w:bookmarkStart w:id="28" w:name="diamonds-data-frame"/>
      <w:r>
        <w:rPr>
          <w:rStyle w:val="VerbatimChar"/>
        </w:rPr>
        <w:t xml:space="preserve">Diamonds</w:t>
      </w:r>
      <w:r>
        <w:t xml:space="preserve"> </w:t>
      </w:r>
      <w:r>
        <w:t xml:space="preserve">data frame</w:t>
      </w:r>
      <w:bookmarkEnd w:id="28"/>
    </w:p>
    <w:p>
      <w:pPr>
        <w:numPr>
          <w:numId w:val="1006"/>
          <w:ilvl w:val="0"/>
        </w:numPr>
      </w:pPr>
      <w:r>
        <w:t xml:space="preserve">Determinine three explanatory variables that are predictive of diamond price.</w:t>
      </w:r>
    </w:p>
    <w:p>
      <w:pPr>
        <w:numPr>
          <w:numId w:val="1000"/>
          <w:ilvl w:val="0"/>
        </w:numPr>
      </w:pPr>
      <w:r>
        <w:rPr>
          <w:i/>
        </w:rPr>
        <w:t xml:space="preserve">Write down the names of the explanatory variables here</w:t>
      </w:r>
      <w:r>
        <w:t xml:space="preserve"> </w:t>
      </w:r>
      <w:r>
        <w:t xml:space="preserve">  .  .  .  </w:t>
      </w:r>
    </w:p>
    <w:p>
      <w:pPr>
        <w:numPr>
          <w:numId w:val="1000"/>
          <w:ilvl w:val="0"/>
        </w:numPr>
      </w:pPr>
      <w:r>
        <w:t xml:space="preserve"> </w:t>
      </w:r>
    </w:p>
    <w:p>
      <w:pPr>
        <w:numPr>
          <w:numId w:val="1006"/>
          <w:ilvl w:val="0"/>
        </w:numPr>
      </w:pPr>
      <w:r>
        <w:t xml:space="preserve">For each of the three variables , list the strength of the relationship both as a fraction of the variation explained and as the change in systolic blood pressure per unit change of the explanatory variable.</w:t>
      </w:r>
    </w:p>
    <w:p>
      <w:pPr>
        <w:numPr>
          <w:numId w:val="1000"/>
          <w:ilvl w:val="0"/>
        </w:numPr>
      </w:pPr>
      <w:r>
        <w:rPr>
          <w:i/>
        </w:rPr>
        <w:t xml:space="preserve">Fill in the table with your answers.</w:t>
      </w:r>
      <w:r>
        <w:t xml:space="preserve"> </w:t>
      </w:r>
      <w:r>
        <w:t xml:space="preserve">  .  .  .  </w:t>
      </w:r>
    </w:p>
    <w:p>
      <w:pPr>
        <w:numPr>
          <w:numId w:val="1000"/>
          <w:ilvl w:val="0"/>
        </w:numPr>
      </w:pPr>
      <w:r>
        <w:t xml:space="preserve"> </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numPr>
                <w:numId w:val="1000"/>
                <w:ilvl w:val="0"/>
              </w:numPr>
            </w:pPr>
            <w:r>
              <w:t xml:space="preserve">variable name</w:t>
            </w:r>
          </w:p>
        </w:tc>
        <w:tc>
          <w:tcPr>
            <w:tcBorders>
              <w:bottom w:val="single"/>
            </w:tcBorders>
            <w:vAlign w:val="bottom"/>
          </w:tcPr>
          <w:p>
            <w:pPr>
              <w:pStyle w:val="Compact"/>
              <w:jc w:val="left"/>
              <w:numPr>
                <w:numId w:val="1000"/>
                <w:ilvl w:val="0"/>
              </w:numPr>
            </w:pPr>
            <w:r>
              <w:t xml:space="preserve">fraction of variation</w:t>
            </w:r>
          </w:p>
        </w:tc>
        <w:tc>
          <w:tcPr>
            <w:tcBorders>
              <w:bottom w:val="single"/>
            </w:tcBorders>
            <w:vAlign w:val="bottom"/>
          </w:tcPr>
          <w:p>
            <w:pPr>
              <w:pStyle w:val="Compact"/>
              <w:jc w:val="left"/>
              <w:numPr>
                <w:numId w:val="1000"/>
                <w:ilvl w:val="0"/>
              </w:numPr>
            </w:pPr>
            <w:r>
              <w:t xml:space="preserve">change of response per unit change in explanatory</w:t>
            </w:r>
          </w:p>
        </w:tc>
      </w:tr>
      <w:tr>
        <w:tc>
          <w:p>
            <w:pPr>
              <w:pStyle w:val="Compact"/>
              <w:jc w:val="left"/>
              <w:numPr>
                <w:numId w:val="1000"/>
                <w:ilvl w:val="0"/>
              </w:numPr>
            </w:pPr>
            <w:r>
              <w:t xml:space="preserve">    </w:t>
            </w:r>
          </w:p>
        </w:tc>
        <w:tc>
          <w:p>
            <w:pPr>
              <w:pStyle w:val="Compact"/>
              <w:jc w:val="left"/>
              <w:numPr>
                <w:numId w:val="1000"/>
                <w:ilvl w:val="0"/>
              </w:numPr>
            </w:pPr>
            <w:r>
              <w:t xml:space="preserve">    </w:t>
            </w:r>
          </w:p>
        </w:tc>
        <w:tc>
          <w:p>
            <w:pPr>
              <w:pStyle w:val="Compact"/>
              <w:jc w:val="left"/>
              <w:numPr>
                <w:numId w:val="1000"/>
                <w:ilvl w:val="0"/>
              </w:numPr>
            </w:pPr>
            <w:r>
              <w:t xml:space="preserve">    </w:t>
            </w:r>
          </w:p>
        </w:tc>
      </w:tr>
      <w:tr>
        <w:tc>
          <w:p>
            <w:pPr>
              <w:pStyle w:val="Compact"/>
              <w:jc w:val="left"/>
              <w:numPr>
                <w:numId w:val="1000"/>
                <w:ilvl w:val="0"/>
              </w:numPr>
            </w:pPr>
            <w:r>
              <w:t xml:space="preserve">    </w:t>
            </w:r>
          </w:p>
        </w:tc>
        <w:tc>
          <w:p>
            <w:pPr>
              <w:pStyle w:val="Compact"/>
              <w:jc w:val="left"/>
              <w:numPr>
                <w:numId w:val="1000"/>
                <w:ilvl w:val="0"/>
              </w:numPr>
            </w:pPr>
            <w:r>
              <w:t xml:space="preserve">    </w:t>
            </w:r>
          </w:p>
        </w:tc>
        <w:tc>
          <w:p>
            <w:pPr>
              <w:pStyle w:val="Compact"/>
              <w:jc w:val="left"/>
              <w:numPr>
                <w:numId w:val="1000"/>
                <w:ilvl w:val="0"/>
              </w:numPr>
            </w:pPr>
            <w:r>
              <w:t xml:space="preserve">    </w:t>
            </w:r>
          </w:p>
        </w:tc>
      </w:tr>
      <w:tr>
        <w:tc>
          <w:p>
            <w:pPr>
              <w:pStyle w:val="Compact"/>
              <w:jc w:val="left"/>
              <w:numPr>
                <w:numId w:val="1000"/>
                <w:ilvl w:val="0"/>
              </w:numPr>
            </w:pPr>
            <w:r>
              <w:t xml:space="preserve">    </w:t>
            </w:r>
          </w:p>
        </w:tc>
        <w:tc>
          <w:p>
            <w:pPr>
              <w:pStyle w:val="Compact"/>
              <w:jc w:val="left"/>
              <w:numPr>
                <w:numId w:val="1000"/>
                <w:ilvl w:val="0"/>
              </w:numPr>
            </w:pPr>
            <w:r>
              <w:t xml:space="preserve">    </w:t>
            </w:r>
          </w:p>
        </w:tc>
        <w:tc>
          <w:p>
            <w:pPr>
              <w:pStyle w:val="Compact"/>
              <w:jc w:val="left"/>
              <w:numPr>
                <w:numId w:val="1000"/>
                <w:ilvl w:val="0"/>
              </w:numPr>
            </w:pPr>
            <w:r>
              <w:t xml:space="preserve">    </w:t>
            </w:r>
          </w:p>
        </w:tc>
      </w:tr>
      <w:tr>
        <w:tc>
          <w:p>
            <w:pPr>
              <w:pStyle w:val="Compact"/>
              <w:jc w:val="left"/>
              <w:numPr>
                <w:numId w:val="1000"/>
                <w:ilvl w:val="0"/>
              </w:numPr>
            </w:pPr>
            <w:r>
              <w:t xml:space="preserve">    </w:t>
            </w:r>
          </w:p>
        </w:tc>
        <w:tc>
          <w:p>
            <w:pPr>
              <w:pStyle w:val="Compact"/>
              <w:jc w:val="left"/>
              <w:numPr>
                <w:numId w:val="1000"/>
                <w:ilvl w:val="0"/>
              </w:numPr>
            </w:pPr>
            <w:r>
              <w:t xml:space="preserve">    </w:t>
            </w:r>
          </w:p>
        </w:tc>
        <w:tc>
          <w:p>
            <w:pPr>
              <w:pStyle w:val="Compact"/>
              <w:jc w:val="left"/>
              <w:numPr>
                <w:numId w:val="1000"/>
                <w:ilvl w:val="0"/>
              </w:numPr>
            </w:pPr>
            <w:r>
              <w:t xml:space="preserve">    </w:t>
            </w:r>
          </w:p>
        </w:tc>
      </w:tr>
      <w:tr>
        <w:tc>
          <w:p>
            <w:pPr>
              <w:pStyle w:val="Compact"/>
              <w:jc w:val="left"/>
              <w:numPr>
                <w:numId w:val="1000"/>
                <w:ilvl w:val="0"/>
              </w:numPr>
            </w:pPr>
            <w:r>
              <w:t xml:space="preserve">    </w:t>
            </w:r>
          </w:p>
        </w:tc>
        <w:tc>
          <w:p>
            <w:pPr>
              <w:pStyle w:val="Compact"/>
              <w:jc w:val="left"/>
              <w:numPr>
                <w:numId w:val="1000"/>
                <w:ilvl w:val="0"/>
              </w:numPr>
            </w:pPr>
            <w:r>
              <w:t xml:space="preserve">    </w:t>
            </w:r>
          </w:p>
        </w:tc>
        <w:tc>
          <w:p>
            <w:pPr>
              <w:pStyle w:val="Compact"/>
              <w:jc w:val="left"/>
              <w:numPr>
                <w:numId w:val="1000"/>
                <w:ilvl w:val="0"/>
              </w:numPr>
            </w:pPr>
            <w:r>
              <w:t xml:space="preserve">    </w:t>
            </w:r>
          </w:p>
        </w:tc>
      </w:tr>
    </w:tbl>
    <w:p>
      <w:r>
        <w:pict>
          <v:rect style="width:0;height:1.5pt" o:hralign="center" o:hrstd="t" o:hr="t"/>
        </w:pict>
      </w:r>
    </w:p>
    <w:p>
      <w:pPr>
        <w:pStyle w:val="FirstParagraph"/>
      </w:pPr>
      <w:r>
        <w:t xml:space="preserve">Version 0.2, 2019-05-29, Helen Burn,</w:t>
      </w:r>
      <w:r>
        <w:t xml:space="preserve"> </w:t>
      </w:r>
      <w:hyperlink r:id="rId29">
        <w:r>
          <w:rPr>
            <w:rStyle w:val="Hyperlink"/>
          </w:rPr>
          <w:t xml:space="preserve">Word version</w:t>
        </w:r>
      </w:hyperlink>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hyperlink r:id="rId21">
        <w:r>
          <w:rPr>
            <w:rStyle w:val="Hyperlink"/>
          </w:rPr>
          <w:t xml:space="preserve">https://dtkaplan.shinyapps.io/LA_linear_regression/</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29" Target="/word-versions/foo.docx" TargetMode="External" /><Relationship Type="http://schemas.openxmlformats.org/officeDocument/2006/relationships/hyperlink" Id="rId21" Target="https://dtkaplan.shinyapps.io/LA_linear_regression/" TargetMode="External" /><Relationship Type="http://schemas.openxmlformats.org/officeDocument/2006/relationships/hyperlink" Id="rId23" Target="https://www.cdc.gov/healthyweight/assessing/bmi/" TargetMode="External" /><Relationship Type="http://schemas.openxmlformats.org/officeDocument/2006/relationships/hyperlink" Id="rId27" Target="https://www.mayoclinic.org/diseases-conditions/high-blood-pressure/expert-answers/pulse-pressure/faq-20058189" TargetMode="External" /><Relationship Type="http://schemas.openxmlformats.org/officeDocument/2006/relationships/hyperlink" Id="rId24" Target="https://www.nhlbi.nih.gov/health/educational/lose_wt/BMI/bmicalc.htm" TargetMode="External" /></Relationships>
</file>

<file path=word/_rels/footnotes.xml.rels><?xml version="1.0" encoding="UTF-8"?>
<Relationships xmlns="http://schemas.openxmlformats.org/package/2006/relationships"><Relationship Type="http://schemas.openxmlformats.org/officeDocument/2006/relationships/hyperlink" Id="rId29" Target="/word-versions/foo.docx" TargetMode="External" /><Relationship Type="http://schemas.openxmlformats.org/officeDocument/2006/relationships/hyperlink" Id="rId21" Target="https://dtkaplan.shinyapps.io/LA_linear_regression/" TargetMode="External" /><Relationship Type="http://schemas.openxmlformats.org/officeDocument/2006/relationships/hyperlink" Id="rId23" Target="https://www.cdc.gov/healthyweight/assessing/bmi/" TargetMode="External" /><Relationship Type="http://schemas.openxmlformats.org/officeDocument/2006/relationships/hyperlink" Id="rId27" Target="https://www.mayoclinic.org/diseases-conditions/high-blood-pressure/expert-answers/pulse-pressure/faq-20058189" TargetMode="External" /><Relationship Type="http://schemas.openxmlformats.org/officeDocument/2006/relationships/hyperlink" Id="rId24" Target="https://www.nhlbi.nih.gov/health/educational/lose_wt/BMI/bmicalc.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Introducing linear regression</dc:title>
  <dc:creator/>
  <cp:keywords/>
  <dcterms:created xsi:type="dcterms:W3CDTF">2019-05-29T21:19:32Z</dcterms:created>
  <dcterms:modified xsi:type="dcterms:W3CDTF">2019-05-29T21:19:32Z</dcterms:modified>
</cp:coreProperties>
</file>