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9223D" w14:textId="6C943AEA" w:rsidR="003C68CA" w:rsidRPr="003C68CA" w:rsidRDefault="003C68CA" w:rsidP="003C68CA">
      <w:pPr>
        <w:spacing w:line="360" w:lineRule="auto"/>
        <w:rPr>
          <w:b/>
          <w:bCs/>
        </w:rPr>
      </w:pPr>
      <w:r>
        <w:rPr>
          <w:b/>
          <w:bCs/>
        </w:rPr>
        <w:t>Overview</w:t>
      </w:r>
    </w:p>
    <w:p w14:paraId="6A5AE31F" w14:textId="23665550" w:rsidR="003C68CA" w:rsidRDefault="003C68CA" w:rsidP="003C68CA">
      <w:pPr>
        <w:spacing w:line="360" w:lineRule="auto"/>
        <w:ind w:firstLine="720"/>
      </w:pPr>
      <w:r>
        <w:t xml:space="preserve">The State Fisheries Genomics Lab at Oregon State University and </w:t>
      </w:r>
      <w:proofErr w:type="spellStart"/>
      <w:r>
        <w:t>GTseek</w:t>
      </w:r>
      <w:proofErr w:type="spellEnd"/>
      <w:r>
        <w:t xml:space="preserve"> LLC developed a Pacific Albacore Tuna </w:t>
      </w:r>
      <w:proofErr w:type="spellStart"/>
      <w:r>
        <w:t>GTseq</w:t>
      </w:r>
      <w:proofErr w:type="spellEnd"/>
      <w:r>
        <w:t xml:space="preserve"> Panel in 2021. Genomic features (SNPs) were selected from three sources: F</w:t>
      </w:r>
      <w:r w:rsidRPr="003C68CA">
        <w:rPr>
          <w:vertAlign w:val="subscript"/>
        </w:rPr>
        <w:t>ST</w:t>
      </w:r>
      <w:r>
        <w:t xml:space="preserve"> outliers between North and South Pacific samples identified by </w:t>
      </w:r>
      <w:r>
        <w:fldChar w:fldCharType="begin"/>
      </w:r>
      <w:r>
        <w:instrText xml:space="preserve"> ADDIN EN.CITE &lt;EndNote&gt;&lt;Cite&gt;&lt;Author&gt;Vaux&lt;/Author&gt;&lt;Year&gt;2021&lt;/Year&gt;&lt;RecNum&gt;1719&lt;/RecNum&gt;&lt;DisplayText&gt;(Vaux&lt;style face="italic"&gt; et al.&lt;/style&gt; 2021)&lt;/DisplayText&gt;&lt;record&gt;&lt;rec-number&gt;1719&lt;/rec-number&gt;&lt;foreign-keys&gt;&lt;key app="EN" db-id="fstdwt0t3xzrskewzvmxpsf80xx25990rfrd" timestamp="1679702726"&gt;1719&lt;/key&gt;&lt;/foreign-keys&gt;&lt;ref-type name="Journal Article"&gt;17&lt;/ref-type&gt;&lt;contributors&gt;&lt;authors&gt;&lt;author&gt;Vaux, Felix&lt;/author&gt;&lt;author&gt;Bohn, Sandra&lt;/author&gt;&lt;author&gt;Hyde, John R&lt;/author&gt;&lt;author&gt;O&amp;apos;Malley, Kathleen G&lt;/author&gt;&lt;/authors&gt;&lt;/contributors&gt;&lt;titles&gt;&lt;title&gt;Adaptive markers distinguish North and South Pacific Albacore amid low population differentiation&lt;/title&gt;&lt;secondary-title&gt;Evolutionary Applications&lt;/secondary-title&gt;&lt;/titles&gt;&lt;periodical&gt;&lt;full-title&gt;Evolutionary Applications&lt;/full-title&gt;&lt;/periodical&gt;&lt;pages&gt;1343-1364&lt;/pages&gt;&lt;volume&gt;14&lt;/volume&gt;&lt;number&gt;5&lt;/number&gt;&lt;dates&gt;&lt;year&gt;2021&lt;/year&gt;&lt;/dates&gt;&lt;isbn&gt;1752-4571&lt;/isbn&gt;&lt;urls&gt;&lt;/urls&gt;&lt;/record&gt;&lt;/Cite&gt;&lt;/EndNote&gt;</w:instrText>
      </w:r>
      <w:r>
        <w:fldChar w:fldCharType="separate"/>
      </w:r>
      <w:r>
        <w:rPr>
          <w:noProof/>
        </w:rPr>
        <w:t>(Vaux</w:t>
      </w:r>
      <w:r w:rsidRPr="003C68CA">
        <w:rPr>
          <w:i/>
          <w:noProof/>
        </w:rPr>
        <w:t xml:space="preserve"> et al.</w:t>
      </w:r>
      <w:r>
        <w:rPr>
          <w:noProof/>
        </w:rPr>
        <w:t xml:space="preserve"> 2021)</w:t>
      </w:r>
      <w:r>
        <w:fldChar w:fldCharType="end"/>
      </w:r>
      <w:r>
        <w:t xml:space="preserve">, spatial redundancy analysis, and presumed neutral loci. After feature selection, primers were designed and two rounds of panel optimization were completed to produce the final panel. A </w:t>
      </w:r>
      <w:r w:rsidR="00BB5EA5">
        <w:t xml:space="preserve">previously developed </w:t>
      </w:r>
      <w:r>
        <w:t xml:space="preserve">PCR based </w:t>
      </w:r>
      <w:r w:rsidR="00BB5EA5">
        <w:t xml:space="preserve">sex assay was adapted to function in the </w:t>
      </w:r>
      <w:proofErr w:type="spellStart"/>
      <w:r w:rsidR="00BB5EA5">
        <w:t>GTseq</w:t>
      </w:r>
      <w:proofErr w:type="spellEnd"/>
      <w:r w:rsidR="00BB5EA5">
        <w:t xml:space="preserve"> panel and was evaluated using sex identified individuals. </w:t>
      </w:r>
      <w:r>
        <w:t>The final panel consisted of 288 SNP markers and the sex marker.</w:t>
      </w:r>
    </w:p>
    <w:p w14:paraId="4BD85B8E" w14:textId="463D2B7B" w:rsidR="00BB5EA5" w:rsidRDefault="00BB5EA5" w:rsidP="00BB5EA5">
      <w:pPr>
        <w:spacing w:line="360" w:lineRule="auto"/>
      </w:pPr>
    </w:p>
    <w:p w14:paraId="33B9DFCE" w14:textId="046372CC" w:rsidR="00BB5EA5" w:rsidRDefault="00BB5EA5" w:rsidP="00BB5EA5">
      <w:pPr>
        <w:spacing w:line="360" w:lineRule="auto"/>
        <w:rPr>
          <w:b/>
          <w:bCs/>
        </w:rPr>
      </w:pPr>
      <w:r w:rsidRPr="00BB5EA5">
        <w:rPr>
          <w:b/>
          <w:bCs/>
        </w:rPr>
        <w:t>Feature Selection</w:t>
      </w:r>
    </w:p>
    <w:p w14:paraId="7637B859" w14:textId="42C997DE" w:rsidR="00DD1474" w:rsidRPr="00DD1474" w:rsidRDefault="00DD1474" w:rsidP="00BB5EA5">
      <w:pPr>
        <w:spacing w:line="360" w:lineRule="auto"/>
        <w:rPr>
          <w:i/>
          <w:iCs/>
        </w:rPr>
      </w:pPr>
      <w:r>
        <w:rPr>
          <w:i/>
          <w:iCs/>
        </w:rPr>
        <w:t>Vaux 2021 Dataset</w:t>
      </w:r>
    </w:p>
    <w:p w14:paraId="05CD8537" w14:textId="329416A3" w:rsidR="00DD1474" w:rsidRPr="00BB5EA5" w:rsidRDefault="00DD1474" w:rsidP="00DD1474">
      <w:pPr>
        <w:spacing w:line="360" w:lineRule="auto"/>
        <w:ind w:firstLine="720"/>
      </w:pPr>
      <w:r>
        <w:t>Vaux et al (2021) successfully genotyped 308 albacore at ~13k RADseq loci. The final dataset included 234 individuals from 10 locations throughout the North Pacific and 74 individuals from two locations</w:t>
      </w:r>
      <w:r w:rsidR="00E61BA3">
        <w:t xml:space="preserve"> in the South Pacific</w:t>
      </w:r>
      <w:r>
        <w:t>.</w:t>
      </w:r>
      <w:r w:rsidR="005D30A6">
        <w:t xml:space="preserve"> This dataset and the underlying raw </w:t>
      </w:r>
      <w:proofErr w:type="spellStart"/>
      <w:r w:rsidR="005D30A6">
        <w:t>RADtag</w:t>
      </w:r>
      <w:proofErr w:type="spellEnd"/>
      <w:r w:rsidR="005D30A6">
        <w:t xml:space="preserve"> sequences were used for feature selection</w:t>
      </w:r>
    </w:p>
    <w:p w14:paraId="4F1A205D" w14:textId="387C4E86" w:rsidR="00DD1474" w:rsidRDefault="00DD1474" w:rsidP="00DD1474">
      <w:pPr>
        <w:spacing w:line="360" w:lineRule="auto"/>
        <w:ind w:firstLine="720"/>
        <w:rPr>
          <w:b/>
          <w:bCs/>
        </w:rPr>
      </w:pPr>
    </w:p>
    <w:p w14:paraId="3C1088D2" w14:textId="1131BAF8" w:rsidR="00BB5EA5" w:rsidRDefault="00BB5EA5" w:rsidP="00BB5EA5">
      <w:pPr>
        <w:spacing w:line="360" w:lineRule="auto"/>
        <w:rPr>
          <w:i/>
          <w:iCs/>
        </w:rPr>
      </w:pPr>
      <w:r>
        <w:rPr>
          <w:i/>
          <w:iCs/>
        </w:rPr>
        <w:t>F</w:t>
      </w:r>
      <w:r w:rsidRPr="00BB5EA5">
        <w:rPr>
          <w:i/>
          <w:iCs/>
          <w:vertAlign w:val="subscript"/>
        </w:rPr>
        <w:t>ST</w:t>
      </w:r>
      <w:r>
        <w:rPr>
          <w:i/>
          <w:iCs/>
        </w:rPr>
        <w:t xml:space="preserve"> Markers</w:t>
      </w:r>
    </w:p>
    <w:p w14:paraId="147642A7" w14:textId="77777777" w:rsidR="00E93E94" w:rsidRDefault="00BB5EA5" w:rsidP="00DD1474">
      <w:pPr>
        <w:spacing w:line="360" w:lineRule="auto"/>
        <w:ind w:firstLine="720"/>
      </w:pPr>
      <w:r>
        <w:t xml:space="preserve">Vaux et al (2021) identified 84 SNPs that were found in common across multiple </w:t>
      </w:r>
      <w:r w:rsidRPr="00BB5EA5">
        <w:t>F</w:t>
      </w:r>
      <w:r w:rsidRPr="00BB5EA5">
        <w:rPr>
          <w:vertAlign w:val="subscript"/>
        </w:rPr>
        <w:t>ST</w:t>
      </w:r>
      <w:r w:rsidRPr="00BB5EA5">
        <w:t xml:space="preserve"> outlier </w:t>
      </w:r>
      <w:r>
        <w:t>scans</w:t>
      </w:r>
      <w:r w:rsidRPr="00BB5EA5">
        <w:t xml:space="preserve"> comparing N</w:t>
      </w:r>
      <w:r>
        <w:t>orth</w:t>
      </w:r>
      <w:r w:rsidRPr="00BB5EA5">
        <w:t xml:space="preserve"> and S</w:t>
      </w:r>
      <w:r>
        <w:t>outh</w:t>
      </w:r>
      <w:r w:rsidRPr="00BB5EA5">
        <w:t xml:space="preserve"> Pacific samples</w:t>
      </w:r>
      <w:r>
        <w:t>.</w:t>
      </w:r>
      <w:r w:rsidRPr="00BB5EA5">
        <w:t xml:space="preserve"> </w:t>
      </w:r>
      <w:r w:rsidR="005D30A6">
        <w:t xml:space="preserve">All 84 SNPs were selected as genomic features for primer design. </w:t>
      </w:r>
    </w:p>
    <w:p w14:paraId="20DDB08D" w14:textId="41E54AE0" w:rsidR="00BB5EA5" w:rsidRDefault="005D30A6" w:rsidP="00DD1474">
      <w:pPr>
        <w:spacing w:line="360" w:lineRule="auto"/>
        <w:ind w:firstLine="720"/>
      </w:pPr>
      <w:r>
        <w:t>The intended function of these SNPs in the panel is to discriminate between albacore with North and South Pacific ancestry.</w:t>
      </w:r>
    </w:p>
    <w:p w14:paraId="3420F1A6" w14:textId="6EE33A54" w:rsidR="00DD1474" w:rsidRDefault="00DD1474" w:rsidP="00DD1474">
      <w:pPr>
        <w:spacing w:line="360" w:lineRule="auto"/>
      </w:pPr>
    </w:p>
    <w:p w14:paraId="1E419E3B" w14:textId="4BC8604C" w:rsidR="00DD1474" w:rsidRDefault="00DD1474" w:rsidP="00DD1474">
      <w:pPr>
        <w:spacing w:line="360" w:lineRule="auto"/>
        <w:rPr>
          <w:i/>
          <w:iCs/>
        </w:rPr>
      </w:pPr>
      <w:r>
        <w:rPr>
          <w:i/>
          <w:iCs/>
        </w:rPr>
        <w:t>Spatial Redundancy Analysis</w:t>
      </w:r>
    </w:p>
    <w:p w14:paraId="2FF9757A" w14:textId="77777777" w:rsidR="00E93E94" w:rsidRDefault="005D30A6" w:rsidP="005D30A6">
      <w:pPr>
        <w:spacing w:line="360" w:lineRule="auto"/>
        <w:ind w:firstLine="720"/>
        <w:rPr>
          <w:rFonts w:ascii="Calibri" w:eastAsia="Times New Roman" w:hAnsi="Calibri" w:cs="Calibri"/>
          <w:color w:val="FF0000"/>
        </w:rPr>
      </w:pPr>
      <w:r w:rsidRPr="00E93E94">
        <w:rPr>
          <w:rFonts w:ascii="Calibri" w:eastAsia="Times New Roman" w:hAnsi="Calibri" w:cs="Calibri"/>
          <w:color w:val="FF0000"/>
        </w:rPr>
        <w:t xml:space="preserve">Write methods results summary. </w:t>
      </w:r>
    </w:p>
    <w:p w14:paraId="13A122AF" w14:textId="17E7BAE4" w:rsidR="005D30A6" w:rsidRDefault="005D30A6" w:rsidP="005D30A6">
      <w:pPr>
        <w:spacing w:line="360" w:lineRule="auto"/>
        <w:ind w:firstLine="720"/>
      </w:pPr>
      <w:r>
        <w:rPr>
          <w:rFonts w:ascii="Calibri" w:eastAsia="Times New Roman" w:hAnsi="Calibri" w:cs="Calibri"/>
          <w:color w:val="000000"/>
        </w:rPr>
        <w:t>The intended purpose of these spatial markers in the panel is twofold. First these markers may provide additional power to</w:t>
      </w:r>
      <w:r>
        <w:t xml:space="preserve"> discriminate between albacore with North and South </w:t>
      </w:r>
      <w:r>
        <w:lastRenderedPageBreak/>
        <w:t xml:space="preserve">Pacific ancestry. Second, these markers may reveal </w:t>
      </w:r>
      <w:r w:rsidR="00E93E94">
        <w:t>genetic structure at finer spatial scales, for example within the North Pacific.</w:t>
      </w:r>
    </w:p>
    <w:p w14:paraId="2AC01817" w14:textId="2E0633D6" w:rsidR="00BB5EA5" w:rsidRDefault="005D30A6" w:rsidP="00BB5EA5">
      <w:pPr>
        <w:spacing w:line="36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ab/>
      </w:r>
    </w:p>
    <w:p w14:paraId="6CFFEFA6" w14:textId="3AE7CEC0" w:rsidR="005D30A6" w:rsidRPr="005D30A6" w:rsidRDefault="005D30A6" w:rsidP="00BB5EA5">
      <w:pPr>
        <w:spacing w:line="360" w:lineRule="auto"/>
        <w:rPr>
          <w:rFonts w:ascii="Calibri" w:eastAsia="Times New Roman" w:hAnsi="Calibri" w:cs="Calibri"/>
          <w:i/>
          <w:iCs/>
          <w:color w:val="000000"/>
        </w:rPr>
      </w:pPr>
      <w:r w:rsidRPr="005D30A6">
        <w:rPr>
          <w:rFonts w:ascii="Calibri" w:eastAsia="Times New Roman" w:hAnsi="Calibri" w:cs="Calibri"/>
          <w:i/>
          <w:iCs/>
          <w:color w:val="000000"/>
        </w:rPr>
        <w:t>Neutral Markers</w:t>
      </w:r>
    </w:p>
    <w:p w14:paraId="31C3DA93" w14:textId="77777777" w:rsidR="00E93E94" w:rsidRDefault="00E93E94" w:rsidP="00E93E94">
      <w:pPr>
        <w:spacing w:line="360" w:lineRule="auto"/>
        <w:ind w:firstLine="720"/>
      </w:pPr>
      <w:r w:rsidRPr="00E93E94">
        <w:t xml:space="preserve">Neutral SNPs are based on the Vaux et al </w:t>
      </w:r>
      <w:r>
        <w:t xml:space="preserve">2021 </w:t>
      </w:r>
      <w:r w:rsidRPr="00E93E94">
        <w:t xml:space="preserve">sequence data but used a different filtering approach. The empirical estimated site frequency spectrum </w:t>
      </w:r>
      <w:r>
        <w:t xml:space="preserve">(SFS) </w:t>
      </w:r>
      <w:r w:rsidRPr="00E93E94">
        <w:t xml:space="preserve">indicated that the majority of the variants in among samples was substantially below the minor allele frequency cutoff used to generate the SNP dataset for the spatial and </w:t>
      </w:r>
      <w:r>
        <w:t>F</w:t>
      </w:r>
      <w:r w:rsidRPr="00E93E94">
        <w:rPr>
          <w:vertAlign w:val="subscript"/>
        </w:rPr>
        <w:t>ST</w:t>
      </w:r>
      <w:r w:rsidRPr="00E93E94">
        <w:t xml:space="preserve"> outlier analyses. To avoid biasing the SFS for the neutral SNPs, a new SNP dataset was called using less stringent filtering. The neutral SNP</w:t>
      </w:r>
      <w:r>
        <w:t>s</w:t>
      </w:r>
      <w:r w:rsidRPr="00E93E94">
        <w:t xml:space="preserve"> w</w:t>
      </w:r>
      <w:r>
        <w:t>ere</w:t>
      </w:r>
      <w:r w:rsidRPr="00E93E94">
        <w:t xml:space="preserve"> then drawn from this dataset</w:t>
      </w:r>
      <w:r>
        <w:t xml:space="preserve">. </w:t>
      </w:r>
    </w:p>
    <w:p w14:paraId="1A618210" w14:textId="0E996A39" w:rsidR="00E93E94" w:rsidRDefault="00E93E94" w:rsidP="00E93E94">
      <w:pPr>
        <w:spacing w:line="360" w:lineRule="auto"/>
        <w:ind w:firstLine="720"/>
      </w:pPr>
      <w:r>
        <w:t xml:space="preserve">The intended purpose of the neutral SNPs in the panel </w:t>
      </w:r>
      <w:r w:rsidRPr="00E93E94">
        <w:t xml:space="preserve">to </w:t>
      </w:r>
      <w:r>
        <w:t>provide a more</w:t>
      </w:r>
      <w:r w:rsidRPr="00E93E94">
        <w:t xml:space="preserve"> suitable </w:t>
      </w:r>
      <w:r>
        <w:t xml:space="preserve">set of markers </w:t>
      </w:r>
      <w:r w:rsidRPr="00E93E94">
        <w:t>for estimating population genetic parameters</w:t>
      </w:r>
      <w:r>
        <w:t xml:space="preserve"> that are intended to reflect genome-wide, neutral patterns.</w:t>
      </w:r>
    </w:p>
    <w:p w14:paraId="0192EDEB" w14:textId="77777777" w:rsidR="00E93E94" w:rsidRPr="00E93E94" w:rsidRDefault="00E93E94" w:rsidP="00E93E94">
      <w:pPr>
        <w:spacing w:line="360" w:lineRule="auto"/>
        <w:ind w:firstLine="720"/>
      </w:pPr>
    </w:p>
    <w:p w14:paraId="20B3FED0" w14:textId="4814B1E2" w:rsidR="00BB5EA5" w:rsidRDefault="00BB5EA5" w:rsidP="00BB5EA5">
      <w:pPr>
        <w:spacing w:line="360" w:lineRule="auto"/>
      </w:pPr>
      <w:r>
        <w:rPr>
          <w:b/>
          <w:bCs/>
        </w:rPr>
        <w:t>Primer Design</w:t>
      </w:r>
    </w:p>
    <w:p w14:paraId="5CF917BF" w14:textId="047722CD" w:rsidR="00BB5EA5" w:rsidRDefault="005D30A6" w:rsidP="00BB5EA5">
      <w:pPr>
        <w:spacing w:line="360" w:lineRule="auto"/>
      </w:pPr>
      <w:r>
        <w:tab/>
        <w:t>A total of 495 genomic features were selected for primer design.</w:t>
      </w:r>
      <w:r w:rsidR="00A56868">
        <w:t xml:space="preserve"> </w:t>
      </w:r>
      <w:proofErr w:type="spellStart"/>
      <w:r w:rsidR="00A56868">
        <w:t>RADtag</w:t>
      </w:r>
      <w:proofErr w:type="spellEnd"/>
      <w:r w:rsidR="00A56868">
        <w:t xml:space="preserve"> s</w:t>
      </w:r>
      <w:r w:rsidR="00A56868" w:rsidRPr="00A56868">
        <w:t>equences</w:t>
      </w:r>
      <w:r w:rsidR="00AC0BE8">
        <w:t xml:space="preserve"> from Vaux et al (2021)</w:t>
      </w:r>
      <w:r w:rsidR="00A56868" w:rsidRPr="00A56868">
        <w:t xml:space="preserve"> </w:t>
      </w:r>
      <w:r w:rsidR="00AC0BE8">
        <w:t xml:space="preserve">containing the </w:t>
      </w:r>
      <w:r w:rsidR="00A56868">
        <w:t xml:space="preserve">selected features </w:t>
      </w:r>
      <w:r w:rsidR="00A56868" w:rsidRPr="00A56868">
        <w:t xml:space="preserve">were provided for </w:t>
      </w:r>
      <w:proofErr w:type="spellStart"/>
      <w:r w:rsidR="00A56868" w:rsidRPr="00A56868">
        <w:t>GT</w:t>
      </w:r>
      <w:r w:rsidR="00A56868">
        <w:t>s</w:t>
      </w:r>
      <w:r w:rsidR="00A56868" w:rsidRPr="00A56868">
        <w:t>eq</w:t>
      </w:r>
      <w:proofErr w:type="spellEnd"/>
      <w:r w:rsidR="00A56868" w:rsidRPr="00A56868">
        <w:t xml:space="preserve"> primer design. </w:t>
      </w:r>
      <w:r w:rsidR="00AC0BE8">
        <w:t xml:space="preserve">Using these data as well as flanking sequence from </w:t>
      </w:r>
      <w:r w:rsidR="00815E8E">
        <w:t>the 2013 Pacific Bluefin assembly (</w:t>
      </w:r>
      <w:proofErr w:type="spellStart"/>
      <w:r w:rsidR="00815E8E" w:rsidRPr="00F1220A">
        <w:t>RefSeq</w:t>
      </w:r>
      <w:proofErr w:type="spellEnd"/>
      <w:r w:rsidR="00815E8E" w:rsidRPr="00F1220A">
        <w:t>: GCA_000418415.1</w:t>
      </w:r>
      <w:r w:rsidR="00AC0BE8">
        <w:t>). After several rounds of optimization,</w:t>
      </w:r>
      <w:r w:rsidR="00AC0BE8" w:rsidRPr="00A56868">
        <w:t xml:space="preserve"> </w:t>
      </w:r>
      <w:r w:rsidR="00AC0BE8">
        <w:t>p</w:t>
      </w:r>
      <w:r w:rsidR="00A56868" w:rsidRPr="00A56868">
        <w:t xml:space="preserve">rimer sets meeting the physical properties for </w:t>
      </w:r>
      <w:proofErr w:type="spellStart"/>
      <w:r w:rsidR="00A56868" w:rsidRPr="00A56868">
        <w:t>GTseq</w:t>
      </w:r>
      <w:proofErr w:type="spellEnd"/>
      <w:r w:rsidR="00A56868" w:rsidRPr="00A56868">
        <w:t xml:space="preserve"> and filtered for expected performance in multiplex PCR were designed</w:t>
      </w:r>
      <w:r w:rsidR="00A56868">
        <w:t xml:space="preserve"> </w:t>
      </w:r>
      <w:r w:rsidR="00A56868" w:rsidRPr="00A56868">
        <w:t>(</w:t>
      </w:r>
      <w:proofErr w:type="spellStart"/>
      <w:r w:rsidR="00A56868" w:rsidRPr="00A56868">
        <w:t>N</w:t>
      </w:r>
      <w:r w:rsidR="00AC0BE8">
        <w:rPr>
          <w:vertAlign w:val="subscript"/>
        </w:rPr>
        <w:t>markers</w:t>
      </w:r>
      <w:proofErr w:type="spellEnd"/>
      <w:r w:rsidR="00A56868" w:rsidRPr="00A56868">
        <w:t xml:space="preserve"> = 332)</w:t>
      </w:r>
      <w:r w:rsidR="00A56868">
        <w:t>.</w:t>
      </w:r>
      <w:r w:rsidR="00AC0BE8">
        <w:t xml:space="preserve"> </w:t>
      </w:r>
      <w:r w:rsidR="00AC0BE8" w:rsidRPr="00AC0BE8">
        <w:t>Primers for 15 neutral markers with lengths greater than 60bp were excluded to reduce primer costs (</w:t>
      </w:r>
      <w:proofErr w:type="spellStart"/>
      <w:r w:rsidR="00AC0BE8" w:rsidRPr="00AC0BE8">
        <w:t>N</w:t>
      </w:r>
      <w:r w:rsidR="00AC0BE8" w:rsidRPr="00AC0BE8">
        <w:rPr>
          <w:vertAlign w:val="subscript"/>
        </w:rPr>
        <w:t>markers</w:t>
      </w:r>
      <w:proofErr w:type="spellEnd"/>
      <w:r w:rsidR="00AC0BE8" w:rsidRPr="00AC0BE8">
        <w:t xml:space="preserve"> = 317)</w:t>
      </w:r>
      <w:r w:rsidR="00AC0BE8">
        <w:t xml:space="preserve">. </w:t>
      </w:r>
    </w:p>
    <w:p w14:paraId="2802379A" w14:textId="77777777" w:rsidR="005D30A6" w:rsidRDefault="005D30A6" w:rsidP="00BB5EA5">
      <w:pPr>
        <w:spacing w:line="360" w:lineRule="auto"/>
      </w:pPr>
    </w:p>
    <w:p w14:paraId="31D82DA7" w14:textId="3C495F40" w:rsidR="00BB5EA5" w:rsidRPr="00BB5EA5" w:rsidRDefault="00BB5EA5" w:rsidP="00BB5EA5">
      <w:pPr>
        <w:spacing w:line="360" w:lineRule="auto"/>
        <w:rPr>
          <w:b/>
          <w:bCs/>
        </w:rPr>
      </w:pPr>
      <w:r w:rsidRPr="00BB5EA5">
        <w:rPr>
          <w:b/>
          <w:bCs/>
        </w:rPr>
        <w:t>Validation 1</w:t>
      </w:r>
    </w:p>
    <w:p w14:paraId="65D7E58D" w14:textId="50822B72" w:rsidR="00BB5EA5" w:rsidRDefault="00AC0BE8" w:rsidP="00BB5EA5">
      <w:pPr>
        <w:spacing w:line="360" w:lineRule="auto"/>
      </w:pPr>
      <w:r>
        <w:tab/>
        <w:t xml:space="preserve">An initial test library </w:t>
      </w:r>
      <w:r w:rsidRPr="00AC0BE8">
        <w:t>(</w:t>
      </w:r>
      <w:r>
        <w:t>validation library 1</w:t>
      </w:r>
      <w:r w:rsidRPr="00AC0BE8">
        <w:t>)</w:t>
      </w:r>
      <w:r>
        <w:t xml:space="preserve"> was sequenced on an Illumina NextSeq500 instrument with 75bp single end chemistry. Validation library 1 used a primer pool of 317 </w:t>
      </w:r>
      <w:r w:rsidR="007508D0">
        <w:t xml:space="preserve">primer pairs </w:t>
      </w:r>
      <w:r>
        <w:t xml:space="preserve">(but note that </w:t>
      </w:r>
      <w:proofErr w:type="spellStart"/>
      <w:r>
        <w:t>GTseek</w:t>
      </w:r>
      <w:proofErr w:type="spellEnd"/>
      <w:r>
        <w:t xml:space="preserve"> LLC results for this panel included the 15 neutral markers with long primers, so all results use </w:t>
      </w:r>
      <w:proofErr w:type="spellStart"/>
      <w:r w:rsidRPr="00A56868">
        <w:t>N</w:t>
      </w:r>
      <w:r>
        <w:rPr>
          <w:vertAlign w:val="subscript"/>
        </w:rPr>
        <w:t>markers</w:t>
      </w:r>
      <w:proofErr w:type="spellEnd"/>
      <w:r w:rsidRPr="00A56868">
        <w:t xml:space="preserve"> = 332</w:t>
      </w:r>
      <w:r>
        <w:t xml:space="preserve">), and </w:t>
      </w:r>
      <w:r w:rsidRPr="00AC0BE8">
        <w:t>148 unique albacore</w:t>
      </w:r>
      <w:r>
        <w:t>, 138 of which were previously genotyped in Vaux et al (2021).</w:t>
      </w:r>
    </w:p>
    <w:p w14:paraId="4C2860C2" w14:textId="064CB778" w:rsidR="00AC0BE8" w:rsidRDefault="007508D0" w:rsidP="007508D0">
      <w:pPr>
        <w:spacing w:line="360" w:lineRule="auto"/>
        <w:ind w:firstLine="720"/>
      </w:pPr>
      <w:r>
        <w:lastRenderedPageBreak/>
        <w:t>Validation library 1</w:t>
      </w:r>
      <w:r w:rsidRPr="007508D0">
        <w:t xml:space="preserve"> returned an average on-target rate of 31% and 28 </w:t>
      </w:r>
      <w:r>
        <w:t xml:space="preserve">primer pairs </w:t>
      </w:r>
      <w:r w:rsidRPr="007508D0">
        <w:t>were identified that contributed to most of the off-target sequences.</w:t>
      </w:r>
    </w:p>
    <w:p w14:paraId="2BCCB993" w14:textId="77777777" w:rsidR="007508D0" w:rsidRDefault="007508D0" w:rsidP="00BB5EA5">
      <w:pPr>
        <w:spacing w:line="360" w:lineRule="auto"/>
        <w:rPr>
          <w:b/>
          <w:bCs/>
        </w:rPr>
      </w:pPr>
    </w:p>
    <w:p w14:paraId="3A64EF25" w14:textId="6CC71064" w:rsidR="00BB5EA5" w:rsidRPr="00BB5EA5" w:rsidRDefault="00BB5EA5" w:rsidP="00BB5EA5">
      <w:pPr>
        <w:spacing w:line="360" w:lineRule="auto"/>
        <w:rPr>
          <w:b/>
          <w:bCs/>
        </w:rPr>
      </w:pPr>
      <w:r w:rsidRPr="00BB5EA5">
        <w:rPr>
          <w:b/>
          <w:bCs/>
        </w:rPr>
        <w:t>Validation 2</w:t>
      </w:r>
    </w:p>
    <w:p w14:paraId="790088C5" w14:textId="50FAD0A4" w:rsidR="00BB5EA5" w:rsidRDefault="007508D0" w:rsidP="007508D0">
      <w:pPr>
        <w:spacing w:line="360" w:lineRule="auto"/>
        <w:ind w:firstLine="720"/>
      </w:pPr>
      <w:r>
        <w:t>T</w:t>
      </w:r>
      <w:r w:rsidRPr="007508D0">
        <w:t xml:space="preserve">he 28 </w:t>
      </w:r>
      <w:r>
        <w:t>primer pairs</w:t>
      </w:r>
      <w:r w:rsidRPr="007508D0">
        <w:t xml:space="preserve"> producing primer artifacts were omitted from a new primer pool and validation library</w:t>
      </w:r>
      <w:r>
        <w:t xml:space="preserve"> 2</w:t>
      </w:r>
      <w:r w:rsidRPr="007508D0">
        <w:t xml:space="preserve"> was prepared using the remaining 289</w:t>
      </w:r>
      <w:r>
        <w:t xml:space="preserve"> primer pairs</w:t>
      </w:r>
      <w:r w:rsidRPr="007508D0">
        <w:t xml:space="preserve">. </w:t>
      </w:r>
      <w:r>
        <w:t xml:space="preserve">Validation library 2 was sequenced on a Miseq3 instrument using 75bp paired end sequencing. </w:t>
      </w:r>
      <w:r w:rsidRPr="007508D0">
        <w:t xml:space="preserve">The overall on-target rate for the validation library was 61% among </w:t>
      </w:r>
      <w:r>
        <w:t>a subset of 100</w:t>
      </w:r>
      <w:r w:rsidRPr="007508D0">
        <w:t xml:space="preserve"> </w:t>
      </w:r>
      <w:r>
        <w:t>individuals</w:t>
      </w:r>
      <w:r w:rsidRPr="007508D0">
        <w:t xml:space="preserve"> that performed well. Further analysis of the dataset identified a few other primers contributing to the off-target signal</w:t>
      </w:r>
      <w:r w:rsidR="00B201D9">
        <w:t xml:space="preserve"> (it doesn’t look like these were ever removed???)</w:t>
      </w:r>
    </w:p>
    <w:p w14:paraId="68F42043" w14:textId="77777777" w:rsidR="007508D0" w:rsidRDefault="007508D0" w:rsidP="00BB5EA5">
      <w:pPr>
        <w:spacing w:line="360" w:lineRule="auto"/>
      </w:pPr>
    </w:p>
    <w:p w14:paraId="2610DD0B" w14:textId="5DBEB99A" w:rsidR="00BB5EA5" w:rsidRDefault="00BB5EA5" w:rsidP="00BB5EA5">
      <w:pPr>
        <w:spacing w:line="360" w:lineRule="auto"/>
        <w:rPr>
          <w:b/>
          <w:bCs/>
        </w:rPr>
      </w:pPr>
      <w:r w:rsidRPr="00BB5EA5">
        <w:rPr>
          <w:b/>
          <w:bCs/>
        </w:rPr>
        <w:t>Final Panel</w:t>
      </w:r>
    </w:p>
    <w:p w14:paraId="7664B334" w14:textId="1E05540B" w:rsidR="003B5BEF" w:rsidRDefault="003B5BEF" w:rsidP="003B5BEF">
      <w:pPr>
        <w:spacing w:line="360" w:lineRule="auto"/>
        <w:ind w:firstLine="720"/>
      </w:pPr>
      <w:r>
        <w:t xml:space="preserve">The final panel includes 289 markers (Table 5). </w:t>
      </w:r>
      <w:r>
        <w:t xml:space="preserve">Full panel information is available at the </w:t>
      </w:r>
      <w:hyperlink r:id="rId6" w:history="1">
        <w:r w:rsidRPr="003B5BEF">
          <w:rPr>
            <w:rStyle w:val="Hyperlink"/>
          </w:rPr>
          <w:t xml:space="preserve">SFGL </w:t>
        </w:r>
        <w:proofErr w:type="spellStart"/>
        <w:r w:rsidRPr="003B5BEF">
          <w:rPr>
            <w:rStyle w:val="Hyperlink"/>
          </w:rPr>
          <w:t>GTseq</w:t>
        </w:r>
        <w:proofErr w:type="spellEnd"/>
        <w:r w:rsidRPr="003B5BEF">
          <w:rPr>
            <w:rStyle w:val="Hyperlink"/>
          </w:rPr>
          <w:t xml:space="preserve"> </w:t>
        </w:r>
        <w:proofErr w:type="spellStart"/>
        <w:r w:rsidRPr="003B5BEF">
          <w:rPr>
            <w:rStyle w:val="Hyperlink"/>
          </w:rPr>
          <w:t>Github</w:t>
        </w:r>
        <w:proofErr w:type="spellEnd"/>
        <w:r w:rsidRPr="003B5BEF">
          <w:rPr>
            <w:rStyle w:val="Hyperlink"/>
          </w:rPr>
          <w:t xml:space="preserve"> Repository</w:t>
        </w:r>
      </w:hyperlink>
      <w:r>
        <w:t>.</w:t>
      </w:r>
    </w:p>
    <w:p w14:paraId="41F3B3D6" w14:textId="77777777" w:rsidR="003B5BEF" w:rsidRDefault="003B5BEF" w:rsidP="003B5BEF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1800"/>
      </w:tblGrid>
      <w:tr w:rsidR="003B5BEF" w14:paraId="570E1076" w14:textId="77777777" w:rsidTr="0068383B">
        <w:trPr>
          <w:jc w:val="center"/>
        </w:trPr>
        <w:tc>
          <w:tcPr>
            <w:tcW w:w="2515" w:type="dxa"/>
            <w:tcBorders>
              <w:top w:val="single" w:sz="4" w:space="0" w:color="auto"/>
              <w:bottom w:val="single" w:sz="4" w:space="0" w:color="auto"/>
            </w:tcBorders>
          </w:tcPr>
          <w:p w14:paraId="3D46FDD2" w14:textId="77777777" w:rsidR="003B5BEF" w:rsidRPr="0076477F" w:rsidRDefault="003B5BEF" w:rsidP="0068383B">
            <w:pPr>
              <w:jc w:val="center"/>
              <w:rPr>
                <w:b/>
                <w:bCs/>
              </w:rPr>
            </w:pPr>
            <w:r w:rsidRPr="0076477F">
              <w:rPr>
                <w:b/>
                <w:bCs/>
              </w:rPr>
              <w:t>Marker Type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67843C66" w14:textId="77777777" w:rsidR="003B5BEF" w:rsidRPr="0076477F" w:rsidRDefault="003B5BEF" w:rsidP="0068383B">
            <w:pPr>
              <w:jc w:val="center"/>
              <w:rPr>
                <w:b/>
                <w:bCs/>
              </w:rPr>
            </w:pPr>
            <w:r w:rsidRPr="0076477F">
              <w:rPr>
                <w:b/>
                <w:bCs/>
              </w:rPr>
              <w:t>n</w:t>
            </w:r>
          </w:p>
        </w:tc>
      </w:tr>
      <w:tr w:rsidR="003B5BEF" w14:paraId="546128E9" w14:textId="77777777" w:rsidTr="0068383B">
        <w:trPr>
          <w:jc w:val="center"/>
        </w:trPr>
        <w:tc>
          <w:tcPr>
            <w:tcW w:w="2515" w:type="dxa"/>
            <w:tcBorders>
              <w:top w:val="single" w:sz="4" w:space="0" w:color="auto"/>
            </w:tcBorders>
          </w:tcPr>
          <w:p w14:paraId="519A5EED" w14:textId="77777777" w:rsidR="003B5BEF" w:rsidRDefault="003B5BEF" w:rsidP="0068383B">
            <w:pPr>
              <w:jc w:val="center"/>
            </w:pPr>
            <w:r>
              <w:t>F</w:t>
            </w:r>
            <w:r w:rsidRPr="0076477F">
              <w:rPr>
                <w:vertAlign w:val="subscript"/>
              </w:rPr>
              <w:t>ST</w:t>
            </w:r>
            <w:r>
              <w:t xml:space="preserve"> Outlier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2A387EB1" w14:textId="77777777" w:rsidR="003B5BEF" w:rsidRDefault="003B5BEF" w:rsidP="0068383B">
            <w:pPr>
              <w:jc w:val="center"/>
            </w:pPr>
            <w:r>
              <w:t>54</w:t>
            </w:r>
          </w:p>
        </w:tc>
      </w:tr>
      <w:tr w:rsidR="003B5BEF" w14:paraId="7B92B1CD" w14:textId="77777777" w:rsidTr="0068383B">
        <w:trPr>
          <w:jc w:val="center"/>
        </w:trPr>
        <w:tc>
          <w:tcPr>
            <w:tcW w:w="2515" w:type="dxa"/>
          </w:tcPr>
          <w:p w14:paraId="2E6B5FF7" w14:textId="77777777" w:rsidR="003B5BEF" w:rsidRDefault="003B5BEF" w:rsidP="0068383B">
            <w:pPr>
              <w:jc w:val="center"/>
            </w:pPr>
            <w:r>
              <w:t>Spatial Outlier</w:t>
            </w:r>
          </w:p>
        </w:tc>
        <w:tc>
          <w:tcPr>
            <w:tcW w:w="1800" w:type="dxa"/>
          </w:tcPr>
          <w:p w14:paraId="684D6118" w14:textId="77777777" w:rsidR="003B5BEF" w:rsidRDefault="003B5BEF" w:rsidP="0068383B">
            <w:pPr>
              <w:jc w:val="center"/>
            </w:pPr>
            <w:r>
              <w:t>117* (81)</w:t>
            </w:r>
          </w:p>
        </w:tc>
      </w:tr>
      <w:tr w:rsidR="003B5BEF" w14:paraId="2300C77A" w14:textId="77777777" w:rsidTr="0068383B">
        <w:trPr>
          <w:jc w:val="center"/>
        </w:trPr>
        <w:tc>
          <w:tcPr>
            <w:tcW w:w="2515" w:type="dxa"/>
            <w:tcBorders>
              <w:bottom w:val="single" w:sz="4" w:space="0" w:color="auto"/>
            </w:tcBorders>
          </w:tcPr>
          <w:p w14:paraId="45BC0EBE" w14:textId="77777777" w:rsidR="003B5BEF" w:rsidRDefault="003B5BEF" w:rsidP="0068383B">
            <w:pPr>
              <w:jc w:val="center"/>
            </w:pPr>
            <w:r>
              <w:t>Neutral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5A8E5FDF" w14:textId="77777777" w:rsidR="003B5BEF" w:rsidRDefault="003B5BEF" w:rsidP="0068383B">
            <w:pPr>
              <w:jc w:val="center"/>
            </w:pPr>
            <w:r>
              <w:t>153</w:t>
            </w:r>
          </w:p>
        </w:tc>
      </w:tr>
      <w:tr w:rsidR="003B5BEF" w14:paraId="0183E1D9" w14:textId="77777777" w:rsidTr="0068383B">
        <w:trPr>
          <w:jc w:val="center"/>
        </w:trPr>
        <w:tc>
          <w:tcPr>
            <w:tcW w:w="2515" w:type="dxa"/>
            <w:tcBorders>
              <w:top w:val="single" w:sz="4" w:space="0" w:color="auto"/>
            </w:tcBorders>
          </w:tcPr>
          <w:p w14:paraId="6FF16883" w14:textId="77777777" w:rsidR="003B5BEF" w:rsidRDefault="003B5BEF" w:rsidP="0068383B">
            <w:pPr>
              <w:jc w:val="center"/>
            </w:pPr>
            <w:r>
              <w:t>Total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1B435796" w14:textId="77777777" w:rsidR="003B5BEF" w:rsidRDefault="003B5BEF" w:rsidP="0068383B">
            <w:pPr>
              <w:jc w:val="center"/>
            </w:pPr>
            <w:r>
              <w:t>289</w:t>
            </w:r>
          </w:p>
        </w:tc>
      </w:tr>
    </w:tbl>
    <w:p w14:paraId="3B7BF8D4" w14:textId="77777777" w:rsidR="003B5BEF" w:rsidRPr="003B5BEF" w:rsidRDefault="003B5BEF" w:rsidP="003B5BEF">
      <w:pPr>
        <w:ind w:left="2520" w:right="2160"/>
        <w:rPr>
          <w:sz w:val="21"/>
          <w:szCs w:val="21"/>
        </w:rPr>
      </w:pPr>
      <w:r w:rsidRPr="003B5BEF">
        <w:rPr>
          <w:b/>
          <w:bCs/>
          <w:sz w:val="21"/>
          <w:szCs w:val="21"/>
        </w:rPr>
        <w:t>Table 5:</w:t>
      </w:r>
      <w:r w:rsidRPr="003B5BEF">
        <w:rPr>
          <w:sz w:val="21"/>
          <w:szCs w:val="21"/>
        </w:rPr>
        <w:t xml:space="preserve"> Marker Counts in the final panel (Panel_289). *Note that there are 117 spatial outliers, but 36 are also F</w:t>
      </w:r>
      <w:r w:rsidRPr="003B5BEF">
        <w:rPr>
          <w:sz w:val="21"/>
          <w:szCs w:val="21"/>
          <w:vertAlign w:val="subscript"/>
        </w:rPr>
        <w:t>ST</w:t>
      </w:r>
      <w:r w:rsidRPr="003B5BEF">
        <w:rPr>
          <w:sz w:val="21"/>
          <w:szCs w:val="21"/>
        </w:rPr>
        <w:t xml:space="preserve"> outliers</w:t>
      </w:r>
    </w:p>
    <w:p w14:paraId="5EAD85D2" w14:textId="77777777" w:rsidR="003B5BEF" w:rsidRPr="00BB5EA5" w:rsidRDefault="003B5BEF" w:rsidP="003B5BEF">
      <w:pPr>
        <w:spacing w:line="360" w:lineRule="auto"/>
        <w:ind w:firstLine="720"/>
        <w:rPr>
          <w:b/>
          <w:bCs/>
        </w:rPr>
      </w:pPr>
    </w:p>
    <w:p w14:paraId="03C877A3" w14:textId="77777777" w:rsidR="003C68CA" w:rsidRDefault="003C68CA" w:rsidP="003C68CA">
      <w:pPr>
        <w:spacing w:line="360" w:lineRule="auto"/>
      </w:pPr>
    </w:p>
    <w:p w14:paraId="02FFDFFA" w14:textId="77777777" w:rsidR="003C68CA" w:rsidRPr="003C68CA" w:rsidRDefault="003C68CA" w:rsidP="003C68CA">
      <w:pPr>
        <w:pStyle w:val="EndNoteBibliography"/>
        <w:ind w:left="720" w:hanging="720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3C68CA">
        <w:rPr>
          <w:noProof/>
        </w:rPr>
        <w:t xml:space="preserve">Vaux F, Bohn S, Hyde JR, O'Malley KG (2021) Adaptive markers distinguish north and south pacific albacore amid low population differentiation. </w:t>
      </w:r>
      <w:r w:rsidRPr="003C68CA">
        <w:rPr>
          <w:i/>
          <w:noProof/>
        </w:rPr>
        <w:t>Evolutionary Applications</w:t>
      </w:r>
      <w:r w:rsidRPr="003C68CA">
        <w:rPr>
          <w:noProof/>
        </w:rPr>
        <w:t xml:space="preserve"> </w:t>
      </w:r>
      <w:r w:rsidRPr="003C68CA">
        <w:rPr>
          <w:b/>
          <w:noProof/>
        </w:rPr>
        <w:t>14</w:t>
      </w:r>
      <w:r w:rsidRPr="003C68CA">
        <w:rPr>
          <w:noProof/>
        </w:rPr>
        <w:t>, 1343-1364.</w:t>
      </w:r>
    </w:p>
    <w:p w14:paraId="56104F94" w14:textId="539129DD" w:rsidR="00B1409A" w:rsidRPr="003C68CA" w:rsidRDefault="003C68CA" w:rsidP="003C68CA">
      <w:pPr>
        <w:spacing w:line="360" w:lineRule="auto"/>
      </w:pPr>
      <w:r>
        <w:fldChar w:fldCharType="end"/>
      </w:r>
    </w:p>
    <w:sectPr w:rsidR="00B1409A" w:rsidRPr="003C68CA" w:rsidSect="006E398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3B2A42" w14:textId="77777777" w:rsidR="00EC45C7" w:rsidRDefault="00EC45C7" w:rsidP="003C68CA">
      <w:r>
        <w:separator/>
      </w:r>
    </w:p>
  </w:endnote>
  <w:endnote w:type="continuationSeparator" w:id="0">
    <w:p w14:paraId="7BA1F332" w14:textId="77777777" w:rsidR="00EC45C7" w:rsidRDefault="00EC45C7" w:rsidP="003C6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6373D0" w14:textId="77777777" w:rsidR="00EC45C7" w:rsidRDefault="00EC45C7" w:rsidP="003C68CA">
      <w:r>
        <w:separator/>
      </w:r>
    </w:p>
  </w:footnote>
  <w:footnote w:type="continuationSeparator" w:id="0">
    <w:p w14:paraId="01C3A066" w14:textId="77777777" w:rsidR="00EC45C7" w:rsidRDefault="00EC45C7" w:rsidP="003C68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0C9F1" w14:textId="4AC5BEE5" w:rsidR="003C68CA" w:rsidRDefault="003C68CA">
    <w:pPr>
      <w:pStyle w:val="Header"/>
    </w:pPr>
    <w:r>
      <w:t xml:space="preserve">Albacore </w:t>
    </w:r>
    <w:proofErr w:type="spellStart"/>
    <w:r>
      <w:t>GtSeq</w:t>
    </w:r>
    <w:proofErr w:type="spellEnd"/>
    <w:r>
      <w:t xml:space="preserve"> Panel Executive Summary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Molecular Ecology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stdwt0t3xzrskewzvmxpsf80xx25990rfrd&quot;&gt;My EndNote Library&lt;record-ids&gt;&lt;item&gt;1719&lt;/item&gt;&lt;/record-ids&gt;&lt;/item&gt;&lt;/Libraries&gt;"/>
  </w:docVars>
  <w:rsids>
    <w:rsidRoot w:val="003C68CA"/>
    <w:rsid w:val="0000704A"/>
    <w:rsid w:val="000111E4"/>
    <w:rsid w:val="000215D5"/>
    <w:rsid w:val="00030C22"/>
    <w:rsid w:val="00037BCB"/>
    <w:rsid w:val="00070FBD"/>
    <w:rsid w:val="0007479D"/>
    <w:rsid w:val="00075AD1"/>
    <w:rsid w:val="000A2DAF"/>
    <w:rsid w:val="000A3926"/>
    <w:rsid w:val="000B5E81"/>
    <w:rsid w:val="000E5DD2"/>
    <w:rsid w:val="000F1A6A"/>
    <w:rsid w:val="000F607E"/>
    <w:rsid w:val="00101505"/>
    <w:rsid w:val="001052C3"/>
    <w:rsid w:val="001053B0"/>
    <w:rsid w:val="00106CBD"/>
    <w:rsid w:val="001100E4"/>
    <w:rsid w:val="00113C0B"/>
    <w:rsid w:val="00113D3D"/>
    <w:rsid w:val="00117E1E"/>
    <w:rsid w:val="0012502A"/>
    <w:rsid w:val="0012779A"/>
    <w:rsid w:val="0013106B"/>
    <w:rsid w:val="00153167"/>
    <w:rsid w:val="001574F8"/>
    <w:rsid w:val="00163028"/>
    <w:rsid w:val="00165A45"/>
    <w:rsid w:val="00172350"/>
    <w:rsid w:val="001876DC"/>
    <w:rsid w:val="001954E0"/>
    <w:rsid w:val="001A5BB0"/>
    <w:rsid w:val="001B4514"/>
    <w:rsid w:val="001C0357"/>
    <w:rsid w:val="001C1598"/>
    <w:rsid w:val="00207895"/>
    <w:rsid w:val="00213089"/>
    <w:rsid w:val="00221155"/>
    <w:rsid w:val="00227A30"/>
    <w:rsid w:val="00235640"/>
    <w:rsid w:val="0023721B"/>
    <w:rsid w:val="002415CD"/>
    <w:rsid w:val="00247D13"/>
    <w:rsid w:val="00257BE3"/>
    <w:rsid w:val="00261E5B"/>
    <w:rsid w:val="00262BF8"/>
    <w:rsid w:val="002753BF"/>
    <w:rsid w:val="00275E96"/>
    <w:rsid w:val="002A1615"/>
    <w:rsid w:val="002A23D0"/>
    <w:rsid w:val="002B68CB"/>
    <w:rsid w:val="002C21B9"/>
    <w:rsid w:val="002D067D"/>
    <w:rsid w:val="002D35EB"/>
    <w:rsid w:val="002D5BB5"/>
    <w:rsid w:val="002E66E3"/>
    <w:rsid w:val="002F4363"/>
    <w:rsid w:val="0031214F"/>
    <w:rsid w:val="003126DF"/>
    <w:rsid w:val="00316240"/>
    <w:rsid w:val="00322706"/>
    <w:rsid w:val="00323764"/>
    <w:rsid w:val="0034255E"/>
    <w:rsid w:val="00351BC1"/>
    <w:rsid w:val="00373EBF"/>
    <w:rsid w:val="00374007"/>
    <w:rsid w:val="00374E16"/>
    <w:rsid w:val="00391695"/>
    <w:rsid w:val="003B5BEF"/>
    <w:rsid w:val="003C1673"/>
    <w:rsid w:val="003C3F11"/>
    <w:rsid w:val="003C68CA"/>
    <w:rsid w:val="003D77FB"/>
    <w:rsid w:val="003E00C6"/>
    <w:rsid w:val="003E489D"/>
    <w:rsid w:val="003F4FCA"/>
    <w:rsid w:val="00404345"/>
    <w:rsid w:val="00413EC0"/>
    <w:rsid w:val="004212C0"/>
    <w:rsid w:val="00440FD4"/>
    <w:rsid w:val="00457AFE"/>
    <w:rsid w:val="00474686"/>
    <w:rsid w:val="00492217"/>
    <w:rsid w:val="004A0EE2"/>
    <w:rsid w:val="004A4376"/>
    <w:rsid w:val="004A7EB4"/>
    <w:rsid w:val="004C2DAD"/>
    <w:rsid w:val="004C7A87"/>
    <w:rsid w:val="004E0EED"/>
    <w:rsid w:val="004E5267"/>
    <w:rsid w:val="004F40CE"/>
    <w:rsid w:val="004F4604"/>
    <w:rsid w:val="00501D4E"/>
    <w:rsid w:val="0050205B"/>
    <w:rsid w:val="00536822"/>
    <w:rsid w:val="00575AB5"/>
    <w:rsid w:val="00575C0C"/>
    <w:rsid w:val="00576BEE"/>
    <w:rsid w:val="0058797F"/>
    <w:rsid w:val="00590916"/>
    <w:rsid w:val="00590F8E"/>
    <w:rsid w:val="005930E1"/>
    <w:rsid w:val="005932F1"/>
    <w:rsid w:val="005A643D"/>
    <w:rsid w:val="005B5FDB"/>
    <w:rsid w:val="005C5598"/>
    <w:rsid w:val="005D2D27"/>
    <w:rsid w:val="005D30A6"/>
    <w:rsid w:val="005D7078"/>
    <w:rsid w:val="005E1882"/>
    <w:rsid w:val="005F0174"/>
    <w:rsid w:val="005F1A88"/>
    <w:rsid w:val="005F60A2"/>
    <w:rsid w:val="006001FF"/>
    <w:rsid w:val="0061057D"/>
    <w:rsid w:val="0063046E"/>
    <w:rsid w:val="00631807"/>
    <w:rsid w:val="00640EB6"/>
    <w:rsid w:val="00645F87"/>
    <w:rsid w:val="006706ED"/>
    <w:rsid w:val="00677B13"/>
    <w:rsid w:val="006838BF"/>
    <w:rsid w:val="00687430"/>
    <w:rsid w:val="0069085F"/>
    <w:rsid w:val="006965BE"/>
    <w:rsid w:val="006C210F"/>
    <w:rsid w:val="006E3982"/>
    <w:rsid w:val="0070208B"/>
    <w:rsid w:val="00702BDA"/>
    <w:rsid w:val="007210DF"/>
    <w:rsid w:val="00727C4E"/>
    <w:rsid w:val="007323AF"/>
    <w:rsid w:val="007508D0"/>
    <w:rsid w:val="007601B6"/>
    <w:rsid w:val="00760D36"/>
    <w:rsid w:val="0078196E"/>
    <w:rsid w:val="007A0E65"/>
    <w:rsid w:val="007A1AD0"/>
    <w:rsid w:val="007B19FA"/>
    <w:rsid w:val="007B1F5C"/>
    <w:rsid w:val="007B4C6C"/>
    <w:rsid w:val="007C49ED"/>
    <w:rsid w:val="007D6CB9"/>
    <w:rsid w:val="007D7795"/>
    <w:rsid w:val="007E2F9C"/>
    <w:rsid w:val="007E381C"/>
    <w:rsid w:val="007F4966"/>
    <w:rsid w:val="00800E6B"/>
    <w:rsid w:val="00815DCE"/>
    <w:rsid w:val="00815E8E"/>
    <w:rsid w:val="00833979"/>
    <w:rsid w:val="00851DB7"/>
    <w:rsid w:val="008546E7"/>
    <w:rsid w:val="00856FFB"/>
    <w:rsid w:val="008570EB"/>
    <w:rsid w:val="00876CA5"/>
    <w:rsid w:val="008847A1"/>
    <w:rsid w:val="00897CE9"/>
    <w:rsid w:val="008A10CA"/>
    <w:rsid w:val="008D37B6"/>
    <w:rsid w:val="008E3978"/>
    <w:rsid w:val="008F17F8"/>
    <w:rsid w:val="008F2C42"/>
    <w:rsid w:val="00906BF8"/>
    <w:rsid w:val="0091120E"/>
    <w:rsid w:val="00914C9F"/>
    <w:rsid w:val="00941B17"/>
    <w:rsid w:val="00952FC9"/>
    <w:rsid w:val="0096558E"/>
    <w:rsid w:val="00977CE8"/>
    <w:rsid w:val="0098710C"/>
    <w:rsid w:val="009A2A69"/>
    <w:rsid w:val="009D5B66"/>
    <w:rsid w:val="009E502A"/>
    <w:rsid w:val="009F3717"/>
    <w:rsid w:val="00A16025"/>
    <w:rsid w:val="00A22ADA"/>
    <w:rsid w:val="00A24BC1"/>
    <w:rsid w:val="00A46650"/>
    <w:rsid w:val="00A53F27"/>
    <w:rsid w:val="00A56868"/>
    <w:rsid w:val="00A5756E"/>
    <w:rsid w:val="00A6050F"/>
    <w:rsid w:val="00A61C14"/>
    <w:rsid w:val="00A669F4"/>
    <w:rsid w:val="00A71A92"/>
    <w:rsid w:val="00AC0BE8"/>
    <w:rsid w:val="00AD3B92"/>
    <w:rsid w:val="00B00A8A"/>
    <w:rsid w:val="00B13265"/>
    <w:rsid w:val="00B134BB"/>
    <w:rsid w:val="00B13F3E"/>
    <w:rsid w:val="00B1409A"/>
    <w:rsid w:val="00B201D9"/>
    <w:rsid w:val="00B2256C"/>
    <w:rsid w:val="00B22743"/>
    <w:rsid w:val="00B25088"/>
    <w:rsid w:val="00B3104D"/>
    <w:rsid w:val="00B54D09"/>
    <w:rsid w:val="00B72883"/>
    <w:rsid w:val="00B800BA"/>
    <w:rsid w:val="00B8616D"/>
    <w:rsid w:val="00B94ECE"/>
    <w:rsid w:val="00B96263"/>
    <w:rsid w:val="00BB15CC"/>
    <w:rsid w:val="00BB5EA5"/>
    <w:rsid w:val="00BB6CE7"/>
    <w:rsid w:val="00BC3443"/>
    <w:rsid w:val="00C06177"/>
    <w:rsid w:val="00C2055B"/>
    <w:rsid w:val="00C33AA9"/>
    <w:rsid w:val="00C41065"/>
    <w:rsid w:val="00C42AF9"/>
    <w:rsid w:val="00C45759"/>
    <w:rsid w:val="00C528D8"/>
    <w:rsid w:val="00C6140E"/>
    <w:rsid w:val="00C624FD"/>
    <w:rsid w:val="00C77A87"/>
    <w:rsid w:val="00C84D93"/>
    <w:rsid w:val="00CA7054"/>
    <w:rsid w:val="00CA7886"/>
    <w:rsid w:val="00CC6317"/>
    <w:rsid w:val="00CC754A"/>
    <w:rsid w:val="00CD19B7"/>
    <w:rsid w:val="00CE4412"/>
    <w:rsid w:val="00CF44B7"/>
    <w:rsid w:val="00D103FD"/>
    <w:rsid w:val="00D11EF3"/>
    <w:rsid w:val="00D275DE"/>
    <w:rsid w:val="00D3710E"/>
    <w:rsid w:val="00D65024"/>
    <w:rsid w:val="00D8524B"/>
    <w:rsid w:val="00DB04B9"/>
    <w:rsid w:val="00DB275B"/>
    <w:rsid w:val="00DB5827"/>
    <w:rsid w:val="00DB7260"/>
    <w:rsid w:val="00DD0610"/>
    <w:rsid w:val="00DD1474"/>
    <w:rsid w:val="00DD25F4"/>
    <w:rsid w:val="00DD514B"/>
    <w:rsid w:val="00E14906"/>
    <w:rsid w:val="00E17E1D"/>
    <w:rsid w:val="00E34F5E"/>
    <w:rsid w:val="00E438DF"/>
    <w:rsid w:val="00E53851"/>
    <w:rsid w:val="00E6119F"/>
    <w:rsid w:val="00E61BA3"/>
    <w:rsid w:val="00E806CB"/>
    <w:rsid w:val="00E92678"/>
    <w:rsid w:val="00E93E94"/>
    <w:rsid w:val="00E95DE5"/>
    <w:rsid w:val="00E9700D"/>
    <w:rsid w:val="00EA0E8C"/>
    <w:rsid w:val="00EC45C7"/>
    <w:rsid w:val="00ED45D6"/>
    <w:rsid w:val="00EE22FC"/>
    <w:rsid w:val="00EE2FDD"/>
    <w:rsid w:val="00EE5FC8"/>
    <w:rsid w:val="00EF55CB"/>
    <w:rsid w:val="00EF57D5"/>
    <w:rsid w:val="00EF7F67"/>
    <w:rsid w:val="00F105EB"/>
    <w:rsid w:val="00F26025"/>
    <w:rsid w:val="00F3282A"/>
    <w:rsid w:val="00F34C63"/>
    <w:rsid w:val="00F37A6D"/>
    <w:rsid w:val="00F4748C"/>
    <w:rsid w:val="00F62545"/>
    <w:rsid w:val="00F73FE6"/>
    <w:rsid w:val="00F8630C"/>
    <w:rsid w:val="00F92021"/>
    <w:rsid w:val="00F96472"/>
    <w:rsid w:val="00FB3952"/>
    <w:rsid w:val="00FE4744"/>
    <w:rsid w:val="00FE79C9"/>
    <w:rsid w:val="00FF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E33FAA"/>
  <w15:chartTrackingRefBased/>
  <w15:docId w15:val="{B3941077-23D8-494E-8C10-B1DD59EEF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68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68CA"/>
  </w:style>
  <w:style w:type="paragraph" w:styleId="Footer">
    <w:name w:val="footer"/>
    <w:basedOn w:val="Normal"/>
    <w:link w:val="FooterChar"/>
    <w:uiPriority w:val="99"/>
    <w:unhideWhenUsed/>
    <w:rsid w:val="003C68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68CA"/>
  </w:style>
  <w:style w:type="paragraph" w:customStyle="1" w:styleId="EndNoteBibliographyTitle">
    <w:name w:val="EndNote Bibliography Title"/>
    <w:basedOn w:val="Normal"/>
    <w:link w:val="EndNoteBibliographyTitleChar"/>
    <w:rsid w:val="003C68CA"/>
    <w:pPr>
      <w:jc w:val="center"/>
    </w:pPr>
    <w:rPr>
      <w:rFonts w:ascii="Calibri" w:hAnsi="Calibri" w:cs="Calibri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C68CA"/>
    <w:rPr>
      <w:rFonts w:ascii="Calibri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3C68CA"/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3C68CA"/>
    <w:rPr>
      <w:rFonts w:ascii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8C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8CA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93E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E9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B5B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67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tate-Fisheries-Genomics-Lab/GT-seq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Dayan</dc:creator>
  <cp:keywords/>
  <dc:description/>
  <cp:lastModifiedBy>David Dayan</cp:lastModifiedBy>
  <cp:revision>1</cp:revision>
  <dcterms:created xsi:type="dcterms:W3CDTF">2023-03-24T23:59:00Z</dcterms:created>
  <dcterms:modified xsi:type="dcterms:W3CDTF">2023-04-11T19:04:00Z</dcterms:modified>
</cp:coreProperties>
</file>