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6D3F1C" w14:textId="3D67622E" w:rsidR="00155485" w:rsidRDefault="002019BB">
      <w:pPr>
        <w:keepNext/>
        <w:spacing w:before="80"/>
      </w:pPr>
      <w:r>
        <w:rPr>
          <w:b/>
        </w:rPr>
        <w:t>Editorial notes and theoretical material1. calibration tables and examples</w:t>
      </w:r>
    </w:p>
    <w:p w14:paraId="4A2D6DCE" w14:textId="0C2BAF62" w:rsidR="00155485" w:rsidRDefault="002019BB">
      <w:pPr>
        <w:keepNext/>
        <w:spacing w:before="80"/>
      </w:pPr>
      <w:r>
        <w:rPr>
          <w:b/>
        </w:rPr>
        <w:t xml:space="preserve"> Table 1. Residential daily preference profile</w:t>
      </w:r>
    </w:p>
    <w:tbl>
      <w:tblPr>
        <w:tblW w:w="88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5"/>
        <w:gridCol w:w="6408"/>
      </w:tblGrid>
      <w:tr w:rsidR="002019BB" w14:paraId="709D8E93" w14:textId="77777777" w:rsidTr="002019BB">
        <w:trPr>
          <w:cantSplit/>
          <w:tblHeader/>
          <w:jc w:val="center"/>
        </w:trPr>
        <w:tc>
          <w:tcPr>
            <w:tcW w:w="1134" w:type="dxa"/>
            <w:shd w:val="clear" w:color="auto" w:fill="EAEFF3"/>
          </w:tcPr>
          <w:p w14:paraId="4BDA46CF" w14:textId="77777777" w:rsidR="00155485" w:rsidRPr="002019BB" w:rsidRDefault="002019BB" w:rsidP="002019BB">
            <w:pPr>
              <w:spacing w:before="60" w:after="60"/>
              <w:rPr>
                <w:sz w:val="16"/>
                <w:szCs w:val="16"/>
              </w:rPr>
            </w:pPr>
            <w:r w:rsidRPr="002019BB">
              <w:rPr>
                <w:b/>
                <w:sz w:val="16"/>
                <w:szCs w:val="16"/>
              </w:rPr>
              <w:t>Time period</w:t>
            </w:r>
          </w:p>
        </w:tc>
        <w:tc>
          <w:tcPr>
            <w:tcW w:w="1275" w:type="dxa"/>
            <w:shd w:val="clear" w:color="auto" w:fill="EAEFF3"/>
          </w:tcPr>
          <w:p w14:paraId="0FDB5E46" w14:textId="77777777" w:rsidR="00155485" w:rsidRPr="002019BB" w:rsidRDefault="002019BB" w:rsidP="002019BB">
            <w:pPr>
              <w:spacing w:before="60" w:after="60"/>
              <w:rPr>
                <w:sz w:val="16"/>
                <w:szCs w:val="16"/>
              </w:rPr>
            </w:pPr>
            <w:r w:rsidRPr="002019BB">
              <w:rPr>
                <w:b/>
                <w:sz w:val="16"/>
                <w:szCs w:val="16"/>
              </w:rPr>
              <w:t>ωₜ range</w:t>
            </w:r>
          </w:p>
        </w:tc>
        <w:tc>
          <w:tcPr>
            <w:tcW w:w="6408" w:type="dxa"/>
            <w:shd w:val="clear" w:color="auto" w:fill="EAEFF3"/>
          </w:tcPr>
          <w:p w14:paraId="6DBC6C8F" w14:textId="77777777" w:rsidR="00155485" w:rsidRPr="002019BB" w:rsidRDefault="002019BB" w:rsidP="002019BB">
            <w:pPr>
              <w:spacing w:before="60" w:after="60"/>
              <w:rPr>
                <w:sz w:val="16"/>
                <w:szCs w:val="16"/>
              </w:rPr>
            </w:pPr>
            <w:r w:rsidRPr="002019BB">
              <w:rPr>
                <w:b/>
                <w:sz w:val="16"/>
                <w:szCs w:val="16"/>
              </w:rPr>
              <w:t>Household activity</w:t>
            </w:r>
          </w:p>
        </w:tc>
      </w:tr>
      <w:tr w:rsidR="002019BB" w14:paraId="6B3F0BD7" w14:textId="77777777" w:rsidTr="002019BB">
        <w:trPr>
          <w:cantSplit/>
          <w:jc w:val="center"/>
        </w:trPr>
        <w:tc>
          <w:tcPr>
            <w:tcW w:w="1134" w:type="dxa"/>
          </w:tcPr>
          <w:p w14:paraId="67739B81" w14:textId="77777777" w:rsidR="00155485" w:rsidRPr="002019BB" w:rsidRDefault="002019BB" w:rsidP="002019BB">
            <w:pPr>
              <w:spacing w:before="60" w:after="60"/>
              <w:jc w:val="center"/>
              <w:rPr>
                <w:sz w:val="16"/>
                <w:szCs w:val="16"/>
              </w:rPr>
            </w:pPr>
            <w:r w:rsidRPr="002019BB">
              <w:rPr>
                <w:sz w:val="16"/>
                <w:szCs w:val="16"/>
              </w:rPr>
              <w:t>00:00–06:00</w:t>
            </w:r>
          </w:p>
        </w:tc>
        <w:tc>
          <w:tcPr>
            <w:tcW w:w="1275" w:type="dxa"/>
          </w:tcPr>
          <w:p w14:paraId="592198AD" w14:textId="77777777" w:rsidR="00155485" w:rsidRPr="002019BB" w:rsidRDefault="002019BB" w:rsidP="002019BB">
            <w:pPr>
              <w:spacing w:before="60" w:after="60"/>
              <w:jc w:val="center"/>
              <w:rPr>
                <w:sz w:val="16"/>
                <w:szCs w:val="16"/>
              </w:rPr>
            </w:pPr>
            <w:r w:rsidRPr="002019BB">
              <w:rPr>
                <w:sz w:val="16"/>
                <w:szCs w:val="16"/>
              </w:rPr>
              <w:t>0.50–0.60</w:t>
            </w:r>
          </w:p>
        </w:tc>
        <w:tc>
          <w:tcPr>
            <w:tcW w:w="6408" w:type="dxa"/>
          </w:tcPr>
          <w:p w14:paraId="78EB0581" w14:textId="77777777" w:rsidR="00155485" w:rsidRPr="002019BB" w:rsidRDefault="002019BB" w:rsidP="002019BB">
            <w:pPr>
              <w:spacing w:before="60" w:after="60"/>
              <w:jc w:val="both"/>
              <w:rPr>
                <w:sz w:val="16"/>
                <w:szCs w:val="16"/>
              </w:rPr>
            </w:pPr>
            <w:r w:rsidRPr="002019BB">
              <w:rPr>
                <w:sz w:val="16"/>
                <w:szCs w:val="16"/>
              </w:rPr>
              <w:t>Night-time base load. Electricity is mainly used for essential appliances such as refrigerators, standby devices, and minimum household services.</w:t>
            </w:r>
          </w:p>
        </w:tc>
      </w:tr>
      <w:tr w:rsidR="002019BB" w14:paraId="5B826064" w14:textId="77777777" w:rsidTr="002019BB">
        <w:trPr>
          <w:cantSplit/>
          <w:jc w:val="center"/>
        </w:trPr>
        <w:tc>
          <w:tcPr>
            <w:tcW w:w="1134" w:type="dxa"/>
          </w:tcPr>
          <w:p w14:paraId="6CB6192F" w14:textId="77777777" w:rsidR="00155485" w:rsidRPr="002019BB" w:rsidRDefault="002019BB" w:rsidP="002019BB">
            <w:pPr>
              <w:spacing w:before="60" w:after="60"/>
              <w:jc w:val="center"/>
              <w:rPr>
                <w:sz w:val="16"/>
                <w:szCs w:val="16"/>
              </w:rPr>
            </w:pPr>
            <w:r w:rsidRPr="002019BB">
              <w:rPr>
                <w:sz w:val="16"/>
                <w:szCs w:val="16"/>
              </w:rPr>
              <w:t>07:00–10:00</w:t>
            </w:r>
          </w:p>
        </w:tc>
        <w:tc>
          <w:tcPr>
            <w:tcW w:w="1275" w:type="dxa"/>
          </w:tcPr>
          <w:p w14:paraId="20F11770" w14:textId="77777777" w:rsidR="00155485" w:rsidRPr="002019BB" w:rsidRDefault="002019BB" w:rsidP="002019BB">
            <w:pPr>
              <w:spacing w:before="60" w:after="60"/>
              <w:jc w:val="center"/>
              <w:rPr>
                <w:sz w:val="16"/>
                <w:szCs w:val="16"/>
              </w:rPr>
            </w:pPr>
            <w:r w:rsidRPr="002019BB">
              <w:rPr>
                <w:sz w:val="16"/>
                <w:szCs w:val="16"/>
              </w:rPr>
              <w:t>0.90–1.10</w:t>
            </w:r>
          </w:p>
        </w:tc>
        <w:tc>
          <w:tcPr>
            <w:tcW w:w="6408" w:type="dxa"/>
          </w:tcPr>
          <w:p w14:paraId="5C1CE4CC" w14:textId="77777777" w:rsidR="00155485" w:rsidRPr="002019BB" w:rsidRDefault="002019BB" w:rsidP="002019BB">
            <w:pPr>
              <w:spacing w:before="60" w:after="60"/>
              <w:jc w:val="both"/>
              <w:rPr>
                <w:sz w:val="16"/>
                <w:szCs w:val="16"/>
              </w:rPr>
            </w:pPr>
            <w:r w:rsidRPr="002019BB">
              <w:rPr>
                <w:sz w:val="16"/>
                <w:szCs w:val="16"/>
              </w:rPr>
              <w:t>Morning peak period. Increased demand due to breakfast preparation, cooking, water heating, lighting, and household preparation activities.</w:t>
            </w:r>
          </w:p>
        </w:tc>
      </w:tr>
      <w:tr w:rsidR="002019BB" w14:paraId="33518FDC" w14:textId="77777777" w:rsidTr="002019BB">
        <w:trPr>
          <w:cantSplit/>
          <w:jc w:val="center"/>
        </w:trPr>
        <w:tc>
          <w:tcPr>
            <w:tcW w:w="1134" w:type="dxa"/>
          </w:tcPr>
          <w:p w14:paraId="33B8C6F4" w14:textId="77777777" w:rsidR="00155485" w:rsidRPr="002019BB" w:rsidRDefault="002019BB" w:rsidP="002019BB">
            <w:pPr>
              <w:spacing w:before="60" w:after="60"/>
              <w:jc w:val="center"/>
              <w:rPr>
                <w:sz w:val="16"/>
                <w:szCs w:val="16"/>
              </w:rPr>
            </w:pPr>
            <w:r w:rsidRPr="002019BB">
              <w:rPr>
                <w:sz w:val="16"/>
                <w:szCs w:val="16"/>
              </w:rPr>
              <w:t>11:00–16:00</w:t>
            </w:r>
          </w:p>
        </w:tc>
        <w:tc>
          <w:tcPr>
            <w:tcW w:w="1275" w:type="dxa"/>
          </w:tcPr>
          <w:p w14:paraId="52B54453" w14:textId="77777777" w:rsidR="00155485" w:rsidRPr="002019BB" w:rsidRDefault="002019BB" w:rsidP="002019BB">
            <w:pPr>
              <w:spacing w:before="60" w:after="60"/>
              <w:jc w:val="center"/>
              <w:rPr>
                <w:sz w:val="16"/>
                <w:szCs w:val="16"/>
              </w:rPr>
            </w:pPr>
            <w:r w:rsidRPr="002019BB">
              <w:rPr>
                <w:sz w:val="16"/>
                <w:szCs w:val="16"/>
              </w:rPr>
              <w:t>0.75–0.85</w:t>
            </w:r>
          </w:p>
        </w:tc>
        <w:tc>
          <w:tcPr>
            <w:tcW w:w="6408" w:type="dxa"/>
          </w:tcPr>
          <w:p w14:paraId="0F0AFB26" w14:textId="77777777" w:rsidR="00155485" w:rsidRPr="002019BB" w:rsidRDefault="002019BB" w:rsidP="002019BB">
            <w:pPr>
              <w:spacing w:before="60" w:after="60"/>
              <w:jc w:val="both"/>
              <w:rPr>
                <w:sz w:val="16"/>
                <w:szCs w:val="16"/>
              </w:rPr>
            </w:pPr>
            <w:r w:rsidRPr="002019BB">
              <w:rPr>
                <w:sz w:val="16"/>
                <w:szCs w:val="16"/>
              </w:rPr>
              <w:t>Midday period. Household occupancy is typically lower as residents may be away from home. Electricity demand is primarily associated with refrigeration and seasonal heating or cooling loads.</w:t>
            </w:r>
          </w:p>
        </w:tc>
      </w:tr>
      <w:tr w:rsidR="002019BB" w14:paraId="3E85B2C9" w14:textId="77777777" w:rsidTr="002019BB">
        <w:trPr>
          <w:cantSplit/>
          <w:jc w:val="center"/>
        </w:trPr>
        <w:tc>
          <w:tcPr>
            <w:tcW w:w="1134" w:type="dxa"/>
          </w:tcPr>
          <w:p w14:paraId="5B08C775" w14:textId="77777777" w:rsidR="00155485" w:rsidRPr="002019BB" w:rsidRDefault="002019BB" w:rsidP="002019BB">
            <w:pPr>
              <w:spacing w:before="60" w:after="60"/>
              <w:jc w:val="center"/>
              <w:rPr>
                <w:sz w:val="16"/>
                <w:szCs w:val="16"/>
              </w:rPr>
            </w:pPr>
            <w:r w:rsidRPr="002019BB">
              <w:rPr>
                <w:sz w:val="16"/>
                <w:szCs w:val="16"/>
              </w:rPr>
              <w:t>17:00–22:00</w:t>
            </w:r>
          </w:p>
        </w:tc>
        <w:tc>
          <w:tcPr>
            <w:tcW w:w="1275" w:type="dxa"/>
          </w:tcPr>
          <w:p w14:paraId="7AD8B9DA" w14:textId="77777777" w:rsidR="00155485" w:rsidRPr="002019BB" w:rsidRDefault="002019BB" w:rsidP="002019BB">
            <w:pPr>
              <w:spacing w:before="60" w:after="60"/>
              <w:jc w:val="center"/>
              <w:rPr>
                <w:sz w:val="16"/>
                <w:szCs w:val="16"/>
              </w:rPr>
            </w:pPr>
            <w:r w:rsidRPr="002019BB">
              <w:rPr>
                <w:sz w:val="16"/>
                <w:szCs w:val="16"/>
              </w:rPr>
              <w:t>1.20–1.50</w:t>
            </w:r>
          </w:p>
        </w:tc>
        <w:tc>
          <w:tcPr>
            <w:tcW w:w="6408" w:type="dxa"/>
          </w:tcPr>
          <w:p w14:paraId="675EE50B" w14:textId="77777777" w:rsidR="00155485" w:rsidRPr="002019BB" w:rsidRDefault="002019BB" w:rsidP="002019BB">
            <w:pPr>
              <w:spacing w:before="60" w:after="60"/>
              <w:jc w:val="both"/>
              <w:rPr>
                <w:sz w:val="16"/>
                <w:szCs w:val="16"/>
              </w:rPr>
            </w:pPr>
            <w:r w:rsidRPr="002019BB">
              <w:rPr>
                <w:sz w:val="16"/>
                <w:szCs w:val="16"/>
              </w:rPr>
              <w:t>Evening peak period. Most household members are present, resulting in increased demand for cooking, entertainment, lighting, domestic appliances, heating/cooling, and comfort-related services.</w:t>
            </w:r>
          </w:p>
        </w:tc>
      </w:tr>
      <w:tr w:rsidR="002019BB" w14:paraId="37B5A727" w14:textId="77777777" w:rsidTr="002019BB">
        <w:trPr>
          <w:cantSplit/>
          <w:jc w:val="center"/>
        </w:trPr>
        <w:tc>
          <w:tcPr>
            <w:tcW w:w="1134" w:type="dxa"/>
          </w:tcPr>
          <w:p w14:paraId="2A28900E" w14:textId="77777777" w:rsidR="00155485" w:rsidRPr="002019BB" w:rsidRDefault="002019BB" w:rsidP="002019BB">
            <w:pPr>
              <w:spacing w:before="60" w:after="60"/>
              <w:jc w:val="center"/>
              <w:rPr>
                <w:sz w:val="16"/>
                <w:szCs w:val="16"/>
              </w:rPr>
            </w:pPr>
            <w:r w:rsidRPr="002019BB">
              <w:rPr>
                <w:sz w:val="16"/>
                <w:szCs w:val="16"/>
              </w:rPr>
              <w:t>23:00–24:00</w:t>
            </w:r>
          </w:p>
        </w:tc>
        <w:tc>
          <w:tcPr>
            <w:tcW w:w="1275" w:type="dxa"/>
          </w:tcPr>
          <w:p w14:paraId="712B240D" w14:textId="77777777" w:rsidR="00155485" w:rsidRPr="002019BB" w:rsidRDefault="002019BB" w:rsidP="002019BB">
            <w:pPr>
              <w:spacing w:before="60" w:after="60"/>
              <w:jc w:val="center"/>
              <w:rPr>
                <w:sz w:val="16"/>
                <w:szCs w:val="16"/>
              </w:rPr>
            </w:pPr>
            <w:r w:rsidRPr="002019BB">
              <w:rPr>
                <w:sz w:val="16"/>
                <w:szCs w:val="16"/>
              </w:rPr>
              <w:t>0.60–0.70</w:t>
            </w:r>
          </w:p>
        </w:tc>
        <w:tc>
          <w:tcPr>
            <w:tcW w:w="6408" w:type="dxa"/>
          </w:tcPr>
          <w:p w14:paraId="1F13050E" w14:textId="77777777" w:rsidR="00155485" w:rsidRPr="002019BB" w:rsidRDefault="002019BB" w:rsidP="002019BB">
            <w:pPr>
              <w:spacing w:before="60" w:after="60"/>
              <w:jc w:val="both"/>
              <w:rPr>
                <w:sz w:val="16"/>
                <w:szCs w:val="16"/>
              </w:rPr>
            </w:pPr>
            <w:r w:rsidRPr="002019BB">
              <w:rPr>
                <w:sz w:val="16"/>
                <w:szCs w:val="16"/>
              </w:rPr>
              <w:t>Transition to night-time operation with gradually declining household activity and electricity demand.</w:t>
            </w:r>
          </w:p>
        </w:tc>
      </w:tr>
    </w:tbl>
    <w:p w14:paraId="4EDA5E6E" w14:textId="3115371C" w:rsidR="00155485" w:rsidRDefault="002019BB">
      <w:pPr>
        <w:keepNext/>
        <w:spacing w:before="80"/>
      </w:pPr>
      <w:bookmarkStart w:id="0" w:name="_GoBack"/>
      <w:bookmarkEnd w:id="0"/>
      <w:r>
        <w:rPr>
          <w:b/>
        </w:rPr>
        <w:t xml:space="preserve"> Table 2. Discomfort-parameter ranges</w:t>
      </w:r>
    </w:p>
    <w:tbl>
      <w:tblPr>
        <w:tblW w:w="6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129"/>
        <w:gridCol w:w="3114"/>
      </w:tblGrid>
      <w:tr w:rsidR="002019BB" w14:paraId="2B360758" w14:textId="77777777" w:rsidTr="002019BB">
        <w:trPr>
          <w:cantSplit/>
          <w:tblHeader/>
          <w:jc w:val="center"/>
        </w:trPr>
        <w:tc>
          <w:tcPr>
            <w:tcW w:w="1838" w:type="dxa"/>
            <w:shd w:val="clear" w:color="auto" w:fill="EAEFF3"/>
          </w:tcPr>
          <w:p w14:paraId="2A6584F1" w14:textId="77777777" w:rsidR="00155485" w:rsidRPr="002019BB" w:rsidRDefault="002019BB">
            <w:pPr>
              <w:spacing w:before="60" w:after="60"/>
              <w:rPr>
                <w:sz w:val="16"/>
                <w:szCs w:val="16"/>
              </w:rPr>
            </w:pPr>
            <w:r w:rsidRPr="002019BB">
              <w:rPr>
                <w:b/>
                <w:sz w:val="16"/>
                <w:szCs w:val="16"/>
              </w:rPr>
              <w:t>Consumer profile</w:t>
            </w:r>
          </w:p>
        </w:tc>
        <w:tc>
          <w:tcPr>
            <w:tcW w:w="1129" w:type="dxa"/>
            <w:shd w:val="clear" w:color="auto" w:fill="EAEFF3"/>
          </w:tcPr>
          <w:p w14:paraId="13A9E95F" w14:textId="77777777" w:rsidR="00155485" w:rsidRPr="002019BB" w:rsidRDefault="002019BB">
            <w:pPr>
              <w:spacing w:before="60" w:after="60"/>
              <w:rPr>
                <w:sz w:val="16"/>
                <w:szCs w:val="16"/>
              </w:rPr>
            </w:pPr>
            <w:r w:rsidRPr="002019BB">
              <w:rPr>
                <w:b/>
                <w:sz w:val="16"/>
                <w:szCs w:val="16"/>
              </w:rPr>
              <w:t>ζ (€/kWh²)</w:t>
            </w:r>
          </w:p>
        </w:tc>
        <w:tc>
          <w:tcPr>
            <w:tcW w:w="3114" w:type="dxa"/>
            <w:shd w:val="clear" w:color="auto" w:fill="EAEFF3"/>
          </w:tcPr>
          <w:p w14:paraId="786A907D" w14:textId="77777777" w:rsidR="00155485" w:rsidRPr="002019BB" w:rsidRDefault="002019BB">
            <w:pPr>
              <w:spacing w:before="60" w:after="60"/>
              <w:rPr>
                <w:sz w:val="16"/>
                <w:szCs w:val="16"/>
              </w:rPr>
            </w:pPr>
            <w:r w:rsidRPr="002019BB">
              <w:rPr>
                <w:b/>
                <w:sz w:val="16"/>
                <w:szCs w:val="16"/>
              </w:rPr>
              <w:t>Interpretation</w:t>
            </w:r>
          </w:p>
        </w:tc>
      </w:tr>
      <w:tr w:rsidR="002019BB" w14:paraId="2D08A13F" w14:textId="77777777" w:rsidTr="002019BB">
        <w:trPr>
          <w:cantSplit/>
          <w:jc w:val="center"/>
        </w:trPr>
        <w:tc>
          <w:tcPr>
            <w:tcW w:w="1838" w:type="dxa"/>
          </w:tcPr>
          <w:p w14:paraId="52C47F3A" w14:textId="77777777" w:rsidR="00155485" w:rsidRPr="002019BB" w:rsidRDefault="002019BB" w:rsidP="002019BB">
            <w:pPr>
              <w:spacing w:before="60" w:after="60"/>
              <w:jc w:val="center"/>
              <w:rPr>
                <w:sz w:val="16"/>
                <w:szCs w:val="16"/>
              </w:rPr>
            </w:pPr>
            <w:r w:rsidRPr="002019BB">
              <w:rPr>
                <w:sz w:val="16"/>
                <w:szCs w:val="16"/>
              </w:rPr>
              <w:t>Highly Flexible Prosumer</w:t>
            </w:r>
          </w:p>
        </w:tc>
        <w:tc>
          <w:tcPr>
            <w:tcW w:w="1129" w:type="dxa"/>
          </w:tcPr>
          <w:p w14:paraId="5751C01E" w14:textId="77777777" w:rsidR="00155485" w:rsidRPr="002019BB" w:rsidRDefault="002019BB" w:rsidP="002019BB">
            <w:pPr>
              <w:spacing w:before="60" w:after="60"/>
              <w:jc w:val="center"/>
              <w:rPr>
                <w:sz w:val="16"/>
                <w:szCs w:val="16"/>
              </w:rPr>
            </w:pPr>
            <w:r w:rsidRPr="002019BB">
              <w:rPr>
                <w:sz w:val="16"/>
                <w:szCs w:val="16"/>
              </w:rPr>
              <w:t>0.02 – 0.05</w:t>
            </w:r>
          </w:p>
        </w:tc>
        <w:tc>
          <w:tcPr>
            <w:tcW w:w="3114" w:type="dxa"/>
          </w:tcPr>
          <w:p w14:paraId="764415E3" w14:textId="77777777" w:rsidR="00155485" w:rsidRPr="002019BB" w:rsidRDefault="002019BB" w:rsidP="002019BB">
            <w:pPr>
              <w:spacing w:before="60" w:after="60"/>
              <w:jc w:val="both"/>
              <w:rPr>
                <w:sz w:val="16"/>
                <w:szCs w:val="16"/>
              </w:rPr>
            </w:pPr>
            <w:r w:rsidRPr="002019BB">
              <w:rPr>
                <w:sz w:val="16"/>
                <w:szCs w:val="16"/>
              </w:rPr>
              <w:t>Strong willingness to shift demand and participate in demand response programs</w:t>
            </w:r>
          </w:p>
        </w:tc>
      </w:tr>
      <w:tr w:rsidR="002019BB" w14:paraId="6AD9B988" w14:textId="77777777" w:rsidTr="002019BB">
        <w:trPr>
          <w:cantSplit/>
          <w:jc w:val="center"/>
        </w:trPr>
        <w:tc>
          <w:tcPr>
            <w:tcW w:w="1838" w:type="dxa"/>
          </w:tcPr>
          <w:p w14:paraId="3F1ECA6C" w14:textId="77777777" w:rsidR="00155485" w:rsidRPr="002019BB" w:rsidRDefault="002019BB" w:rsidP="002019BB">
            <w:pPr>
              <w:spacing w:before="60" w:after="60"/>
              <w:jc w:val="center"/>
              <w:rPr>
                <w:sz w:val="16"/>
                <w:szCs w:val="16"/>
              </w:rPr>
            </w:pPr>
            <w:r w:rsidRPr="002019BB">
              <w:rPr>
                <w:sz w:val="16"/>
                <w:szCs w:val="16"/>
              </w:rPr>
              <w:t>Typical Residential Prosumer</w:t>
            </w:r>
          </w:p>
        </w:tc>
        <w:tc>
          <w:tcPr>
            <w:tcW w:w="1129" w:type="dxa"/>
          </w:tcPr>
          <w:p w14:paraId="1B487797" w14:textId="77777777" w:rsidR="00155485" w:rsidRPr="002019BB" w:rsidRDefault="002019BB" w:rsidP="002019BB">
            <w:pPr>
              <w:spacing w:before="60" w:after="60"/>
              <w:jc w:val="center"/>
              <w:rPr>
                <w:sz w:val="16"/>
                <w:szCs w:val="16"/>
              </w:rPr>
            </w:pPr>
            <w:r w:rsidRPr="002019BB">
              <w:rPr>
                <w:sz w:val="16"/>
                <w:szCs w:val="16"/>
              </w:rPr>
              <w:t>0.05 – 0.20</w:t>
            </w:r>
          </w:p>
        </w:tc>
        <w:tc>
          <w:tcPr>
            <w:tcW w:w="3114" w:type="dxa"/>
          </w:tcPr>
          <w:p w14:paraId="462093FA" w14:textId="77777777" w:rsidR="00155485" w:rsidRPr="002019BB" w:rsidRDefault="002019BB" w:rsidP="002019BB">
            <w:pPr>
              <w:spacing w:before="60" w:after="60"/>
              <w:jc w:val="both"/>
              <w:rPr>
                <w:sz w:val="16"/>
                <w:szCs w:val="16"/>
              </w:rPr>
            </w:pPr>
            <w:r w:rsidRPr="002019BB">
              <w:rPr>
                <w:sz w:val="16"/>
                <w:szCs w:val="16"/>
              </w:rPr>
              <w:t>Moderate flexibility with balanced consideration of comfort and economic incentives</w:t>
            </w:r>
          </w:p>
        </w:tc>
      </w:tr>
      <w:tr w:rsidR="002019BB" w14:paraId="2A93B0CA" w14:textId="77777777" w:rsidTr="002019BB">
        <w:trPr>
          <w:cantSplit/>
          <w:jc w:val="center"/>
        </w:trPr>
        <w:tc>
          <w:tcPr>
            <w:tcW w:w="1838" w:type="dxa"/>
          </w:tcPr>
          <w:p w14:paraId="3DAF7CD5" w14:textId="77777777" w:rsidR="00155485" w:rsidRPr="002019BB" w:rsidRDefault="002019BB" w:rsidP="002019BB">
            <w:pPr>
              <w:spacing w:before="60" w:after="60"/>
              <w:jc w:val="center"/>
              <w:rPr>
                <w:sz w:val="16"/>
                <w:szCs w:val="16"/>
              </w:rPr>
            </w:pPr>
            <w:r w:rsidRPr="002019BB">
              <w:rPr>
                <w:sz w:val="16"/>
                <w:szCs w:val="16"/>
              </w:rPr>
              <w:t>Relatively Inelastic Prosumer</w:t>
            </w:r>
          </w:p>
        </w:tc>
        <w:tc>
          <w:tcPr>
            <w:tcW w:w="1129" w:type="dxa"/>
          </w:tcPr>
          <w:p w14:paraId="1054DCE9" w14:textId="77777777" w:rsidR="00155485" w:rsidRPr="002019BB" w:rsidRDefault="002019BB" w:rsidP="002019BB">
            <w:pPr>
              <w:spacing w:before="60" w:after="60"/>
              <w:jc w:val="center"/>
              <w:rPr>
                <w:sz w:val="16"/>
                <w:szCs w:val="16"/>
              </w:rPr>
            </w:pPr>
            <w:r w:rsidRPr="002019BB">
              <w:rPr>
                <w:sz w:val="16"/>
                <w:szCs w:val="16"/>
              </w:rPr>
              <w:t>0.20 – 0.50</w:t>
            </w:r>
          </w:p>
        </w:tc>
        <w:tc>
          <w:tcPr>
            <w:tcW w:w="3114" w:type="dxa"/>
          </w:tcPr>
          <w:p w14:paraId="22AB8ED8" w14:textId="77777777" w:rsidR="00155485" w:rsidRPr="002019BB" w:rsidRDefault="002019BB" w:rsidP="002019BB">
            <w:pPr>
              <w:spacing w:before="60" w:after="60"/>
              <w:jc w:val="both"/>
              <w:rPr>
                <w:sz w:val="16"/>
                <w:szCs w:val="16"/>
              </w:rPr>
            </w:pPr>
            <w:r w:rsidRPr="002019BB">
              <w:rPr>
                <w:sz w:val="16"/>
                <w:szCs w:val="16"/>
              </w:rPr>
              <w:t>Limited willingness to modify consumption patterns without substantial compensation</w:t>
            </w:r>
          </w:p>
        </w:tc>
      </w:tr>
    </w:tbl>
    <w:p w14:paraId="22C3E2FB" w14:textId="77777777" w:rsidR="00155485" w:rsidRDefault="002019BB">
      <w:r>
        <w:br w:type="page"/>
      </w:r>
    </w:p>
    <w:p w14:paraId="4FE78B54" w14:textId="7208B881" w:rsidR="00155485" w:rsidRDefault="002019BB">
      <w:pPr>
        <w:keepNext/>
        <w:spacing w:before="80"/>
      </w:pPr>
      <w:r>
        <w:rPr>
          <w:b/>
        </w:rPr>
        <w:lastRenderedPageBreak/>
        <w:t>2. Retained derivation of the deficit P2P price</w:t>
      </w:r>
    </w:p>
    <w:p w14:paraId="00D8EEAF" w14:textId="77777777" w:rsidR="00155485" w:rsidRDefault="002019BB">
      <w:pPr>
        <w:jc w:val="both"/>
      </w:pPr>
      <w:r>
        <w:t>The attachment assumes an inverse relationship between price and the supply-to-demand ratio. For a local deficit, it imposes the spot price at SDRt = 0 and the charging/injection reference price at SDRt = 1. The derivation below reproduces that algebra. It requires the relevant reference prices and denominators to be non-zero.</w:t>
      </w:r>
    </w:p>
    <w:p w14:paraId="1D4968E6" w14:textId="77777777" w:rsidR="00155485" w:rsidRDefault="00B92B97">
      <w:pPr>
        <w:spacing w:after="100"/>
        <w:jc w:val="center"/>
      </w:pPr>
      <m:oMathPara>
        <m:oMath>
          <m:sSub>
            <m:sSubPr>
              <m:ctrlPr>
                <w:rPr>
                  <w:rFonts w:ascii="Cambria Math" w:hAnsi="Cambria Math"/>
                </w:rPr>
              </m:ctrlPr>
            </m:sSubPr>
            <m:e>
              <m:r>
                <w:rPr>
                  <w:rFonts w:ascii="Cambria Math" w:hAnsi="Cambria Math"/>
                  <w:szCs w:val="24"/>
                </w:rPr>
                <m:t>Price</m:t>
              </m:r>
            </m:e>
            <m:sub>
              <m:r>
                <w:rPr>
                  <w:rFonts w:ascii="Cambria Math" w:hAnsi="Cambria Math"/>
                  <w:szCs w:val="24"/>
                </w:rPr>
                <m:t>P2P,t</m:t>
              </m:r>
            </m:sub>
          </m:sSub>
          <m:r>
            <w:rPr>
              <w:rFonts w:ascii="Cambria Math" w:hAnsi="Cambria Math"/>
              <w:szCs w:val="24"/>
            </w:rPr>
            <m:t>=</m:t>
          </m:r>
          <m:f>
            <m:fPr>
              <m:ctrlPr>
                <w:rPr>
                  <w:rFonts w:ascii="Cambria Math" w:hAnsi="Cambria Math"/>
                </w:rPr>
              </m:ctrlPr>
            </m:fPr>
            <m:num>
              <m:r>
                <w:rPr>
                  <w:rFonts w:ascii="Cambria Math" w:hAnsi="Cambria Math"/>
                  <w:szCs w:val="24"/>
                </w:rPr>
                <m:t>1</m:t>
              </m:r>
            </m:num>
            <m:den>
              <m:sSub>
                <m:sSubPr>
                  <m:ctrlPr>
                    <w:rPr>
                      <w:rFonts w:ascii="Cambria Math" w:hAnsi="Cambria Math"/>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m:t>
              </m:r>
              <m:sSub>
                <m:sSubPr>
                  <m:ctrlPr>
                    <w:rPr>
                      <w:rFonts w:ascii="Cambria Math" w:hAnsi="Cambria Math"/>
                    </w:rPr>
                  </m:ctrlPr>
                </m:sSubPr>
                <m:e>
                  <m:r>
                    <w:rPr>
                      <w:rFonts w:ascii="Cambria Math" w:hAnsi="Cambria Math"/>
                      <w:szCs w:val="24"/>
                    </w:rPr>
                    <m:t>SDR</m:t>
                  </m:r>
                </m:e>
                <m:sub>
                  <m:r>
                    <w:rPr>
                      <w:rFonts w:ascii="Cambria Math" w:hAnsi="Cambria Math"/>
                      <w:szCs w:val="24"/>
                    </w:rPr>
                    <m:t>t</m:t>
                  </m:r>
                </m:sub>
              </m:sSub>
              <m:r>
                <w:rPr>
                  <w:rFonts w:ascii="Cambria Math" w:hAnsi="Cambria Math"/>
                  <w:szCs w:val="24"/>
                </w:rPr>
                <m:t>+</m:t>
              </m:r>
              <m:sSub>
                <m:sSubPr>
                  <m:ctrlPr>
                    <w:rPr>
                      <w:rFonts w:ascii="Cambria Math" w:hAnsi="Cambria Math"/>
                    </w:rPr>
                  </m:ctrlPr>
                </m:sSubPr>
                <m:e>
                  <m:r>
                    <w:rPr>
                      <w:rFonts w:ascii="Cambria Math" w:hAnsi="Cambria Math"/>
                      <w:szCs w:val="24"/>
                    </w:rPr>
                    <m:t>b</m:t>
                  </m:r>
                </m:e>
                <m:sub>
                  <m:r>
                    <w:rPr>
                      <w:rFonts w:ascii="Cambria Math" w:hAnsi="Cambria Math"/>
                      <w:szCs w:val="24"/>
                    </w:rPr>
                    <m:t>1</m:t>
                  </m:r>
                </m:sub>
              </m:sSub>
            </m:den>
          </m:f>
        </m:oMath>
      </m:oMathPara>
    </w:p>
    <w:p w14:paraId="2449F14F" w14:textId="77777777" w:rsidR="00155485" w:rsidRDefault="002019BB">
      <w:pPr>
        <w:jc w:val="both"/>
      </w:pPr>
      <w:r>
        <w:t>At zero local supply, the first boundary condition gives:</w:t>
      </w:r>
    </w:p>
    <w:p w14:paraId="43BB3A0E" w14:textId="77777777" w:rsidR="00155485" w:rsidRDefault="00B92B97">
      <w:pPr>
        <w:spacing w:after="100"/>
        <w:jc w:val="center"/>
      </w:pPr>
      <m:oMathPara>
        <m:oMath>
          <m:sSub>
            <m:sSubPr>
              <m:ctrlPr>
                <w:rPr>
                  <w:rFonts w:ascii="Cambria Math" w:hAnsi="Cambria Math"/>
                </w:rPr>
              </m:ctrlPr>
            </m:sSubPr>
            <m:e>
              <m:r>
                <w:rPr>
                  <w:rFonts w:ascii="Cambria Math" w:hAnsi="Cambria Math"/>
                  <w:szCs w:val="24"/>
                </w:rPr>
                <m:t>SDR</m:t>
              </m:r>
            </m:e>
            <m:sub>
              <m:r>
                <w:rPr>
                  <w:rFonts w:ascii="Cambria Math" w:hAnsi="Cambria Math"/>
                  <w:szCs w:val="24"/>
                </w:rPr>
                <m:t>t</m:t>
              </m:r>
            </m:sub>
          </m:sSub>
          <m:r>
            <w:rPr>
              <w:rFonts w:ascii="Cambria Math" w:hAnsi="Cambria Math"/>
              <w:szCs w:val="24"/>
            </w:rPr>
            <m:t xml:space="preserve">=0,  </m:t>
          </m:r>
          <m:sSub>
            <m:sSubPr>
              <m:ctrlPr>
                <w:rPr>
                  <w:rFonts w:ascii="Cambria Math" w:hAnsi="Cambria Math"/>
                </w:rPr>
              </m:ctrlPr>
            </m:sSubPr>
            <m:e>
              <m:r>
                <w:rPr>
                  <w:rFonts w:ascii="Cambria Math" w:hAnsi="Cambria Math"/>
                  <w:szCs w:val="24"/>
                </w:rPr>
                <m:t>Price</m:t>
              </m:r>
            </m:e>
            <m:sub>
              <m:r>
                <w:rPr>
                  <w:rFonts w:ascii="Cambria Math" w:hAnsi="Cambria Math"/>
                  <w:szCs w:val="24"/>
                </w:rPr>
                <m:t>P2P,t</m:t>
              </m:r>
            </m:sub>
          </m:sSub>
          <m:r>
            <w:rPr>
              <w:rFonts w:ascii="Cambria Math" w:hAnsi="Cambria Math"/>
              <w:szCs w:val="24"/>
            </w:rPr>
            <m:t>=</m:t>
          </m:r>
          <m:sSub>
            <m:sSubPr>
              <m:ctrlPr>
                <w:rPr>
                  <w:rFonts w:ascii="Cambria Math" w:hAnsi="Cambria Math"/>
                </w:rPr>
              </m:ctrlPr>
            </m:sSubPr>
            <m:e>
              <m:r>
                <w:rPr>
                  <w:rFonts w:ascii="Cambria Math" w:hAnsi="Cambria Math"/>
                  <w:szCs w:val="24"/>
                </w:rPr>
                <m:t>Price</m:t>
              </m:r>
            </m:e>
            <m:sub>
              <m:r>
                <w:rPr>
                  <w:rFonts w:ascii="Cambria Math" w:hAnsi="Cambria Math"/>
                  <w:szCs w:val="24"/>
                </w:rPr>
                <m:t>spot,t</m:t>
              </m:r>
            </m:sub>
          </m:sSub>
          <m:r>
            <w:rPr>
              <w:rFonts w:ascii="Cambria Math" w:hAnsi="Cambria Math"/>
              <w:szCs w:val="24"/>
            </w:rPr>
            <m:t xml:space="preserve">,  </m:t>
          </m:r>
          <m:sSub>
            <m:sSubPr>
              <m:ctrlPr>
                <w:rPr>
                  <w:rFonts w:ascii="Cambria Math" w:hAnsi="Cambria Math"/>
                </w:rPr>
              </m:ctrlPr>
            </m:sSubPr>
            <m:e>
              <m:r>
                <w:rPr>
                  <w:rFonts w:ascii="Cambria Math" w:hAnsi="Cambria Math"/>
                  <w:szCs w:val="24"/>
                </w:rPr>
                <m:t>b</m:t>
              </m:r>
            </m:e>
            <m:sub>
              <m:r>
                <w:rPr>
                  <w:rFonts w:ascii="Cambria Math" w:hAnsi="Cambria Math"/>
                  <w:szCs w:val="24"/>
                </w:rPr>
                <m:t>1</m:t>
              </m:r>
            </m:sub>
          </m:sSub>
          <m:r>
            <w:rPr>
              <w:rFonts w:ascii="Cambria Math" w:hAnsi="Cambria Math"/>
              <w:szCs w:val="24"/>
            </w:rPr>
            <m:t>=</m:t>
          </m:r>
          <m:f>
            <m:fPr>
              <m:ctrlPr>
                <w:rPr>
                  <w:rFonts w:ascii="Cambria Math" w:hAnsi="Cambria Math"/>
                </w:rPr>
              </m:ctrlPr>
            </m:fPr>
            <m:num>
              <m:r>
                <w:rPr>
                  <w:rFonts w:ascii="Cambria Math" w:hAnsi="Cambria Math"/>
                  <w:szCs w:val="24"/>
                </w:rPr>
                <m:t>1</m:t>
              </m:r>
            </m:num>
            <m:den>
              <m:sSub>
                <m:sSubPr>
                  <m:ctrlPr>
                    <w:rPr>
                      <w:rFonts w:ascii="Cambria Math" w:hAnsi="Cambria Math"/>
                    </w:rPr>
                  </m:ctrlPr>
                </m:sSubPr>
                <m:e>
                  <m:r>
                    <w:rPr>
                      <w:rFonts w:ascii="Cambria Math" w:hAnsi="Cambria Math"/>
                      <w:szCs w:val="24"/>
                    </w:rPr>
                    <m:t>Price</m:t>
                  </m:r>
                </m:e>
                <m:sub>
                  <m:r>
                    <w:rPr>
                      <w:rFonts w:ascii="Cambria Math" w:hAnsi="Cambria Math"/>
                      <w:szCs w:val="24"/>
                    </w:rPr>
                    <m:t>spot,t</m:t>
                  </m:r>
                </m:sub>
              </m:sSub>
            </m:den>
          </m:f>
        </m:oMath>
      </m:oMathPara>
    </w:p>
    <w:p w14:paraId="00AEFED3" w14:textId="77777777" w:rsidR="00155485" w:rsidRDefault="002019BB">
      <w:pPr>
        <w:jc w:val="both"/>
      </w:pPr>
      <w:r>
        <w:t>At unit supply-to-demand ratio, the second boundary condition gives:</w:t>
      </w:r>
    </w:p>
    <w:p w14:paraId="54728445" w14:textId="77777777" w:rsidR="00155485" w:rsidRDefault="00B92B97">
      <w:pPr>
        <w:spacing w:after="100"/>
        <w:jc w:val="center"/>
      </w:pPr>
      <m:oMathPara>
        <m:oMath>
          <m:sSub>
            <m:sSubPr>
              <m:ctrlPr>
                <w:rPr>
                  <w:rFonts w:ascii="Cambria Math" w:hAnsi="Cambria Math"/>
                </w:rPr>
              </m:ctrlPr>
            </m:sSubPr>
            <m:e>
              <m:r>
                <w:rPr>
                  <w:rFonts w:ascii="Cambria Math" w:hAnsi="Cambria Math"/>
                  <w:szCs w:val="24"/>
                </w:rPr>
                <m:t>SDR</m:t>
              </m:r>
            </m:e>
            <m:sub>
              <m:r>
                <w:rPr>
                  <w:rFonts w:ascii="Cambria Math" w:hAnsi="Cambria Math"/>
                  <w:szCs w:val="24"/>
                </w:rPr>
                <m:t>t</m:t>
              </m:r>
            </m:sub>
          </m:sSub>
          <m:r>
            <w:rPr>
              <w:rFonts w:ascii="Cambria Math" w:hAnsi="Cambria Math"/>
              <w:szCs w:val="24"/>
            </w:rPr>
            <m:t xml:space="preserve">=1,  </m:t>
          </m:r>
          <m:sSub>
            <m:sSubPr>
              <m:ctrlPr>
                <w:rPr>
                  <w:rFonts w:ascii="Cambria Math" w:hAnsi="Cambria Math"/>
                </w:rPr>
              </m:ctrlPr>
            </m:sSubPr>
            <m:e>
              <m:r>
                <w:rPr>
                  <w:rFonts w:ascii="Cambria Math" w:hAnsi="Cambria Math"/>
                  <w:szCs w:val="24"/>
                </w:rPr>
                <m:t>Price</m:t>
              </m:r>
            </m:e>
            <m:sub>
              <m:r>
                <w:rPr>
                  <w:rFonts w:ascii="Cambria Math" w:hAnsi="Cambria Math"/>
                  <w:szCs w:val="24"/>
                </w:rPr>
                <m:t>P2P,t</m:t>
              </m:r>
            </m:sub>
          </m:sSub>
          <m:r>
            <w:rPr>
              <w:rFonts w:ascii="Cambria Math" w:hAnsi="Cambria Math"/>
              <w:szCs w:val="24"/>
            </w:rPr>
            <m:t>=</m:t>
          </m:r>
          <m:sSub>
            <m:sSubPr>
              <m:ctrlPr>
                <w:rPr>
                  <w:rFonts w:ascii="Cambria Math" w:hAnsi="Cambria Math"/>
                </w:rPr>
              </m:ctrlPr>
            </m:sSubPr>
            <m:e>
              <m:r>
                <w:rPr>
                  <w:rFonts w:ascii="Cambria Math" w:hAnsi="Cambria Math"/>
                  <w:szCs w:val="24"/>
                </w:rPr>
                <m:t>Price</m:t>
              </m:r>
            </m:e>
            <m:sub>
              <m:r>
                <w:rPr>
                  <w:rFonts w:ascii="Cambria Math" w:hAnsi="Cambria Math"/>
                  <w:szCs w:val="24"/>
                </w:rPr>
                <m:t>prosumer,ch-inj,t</m:t>
              </m:r>
            </m:sub>
          </m:sSub>
          <m:r>
            <w:rPr>
              <w:rFonts w:ascii="Cambria Math" w:hAnsi="Cambria Math"/>
              <w:szCs w:val="24"/>
            </w:rPr>
            <m:t xml:space="preserve">,  </m:t>
          </m:r>
          <m:sSub>
            <m:sSubPr>
              <m:ctrlPr>
                <w:rPr>
                  <w:rFonts w:ascii="Cambria Math" w:hAnsi="Cambria Math"/>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m:t>
          </m:r>
          <m:sSub>
            <m:sSubPr>
              <m:ctrlPr>
                <w:rPr>
                  <w:rFonts w:ascii="Cambria Math" w:hAnsi="Cambria Math"/>
                </w:rPr>
              </m:ctrlPr>
            </m:sSubPr>
            <m:e>
              <m:r>
                <w:rPr>
                  <w:rFonts w:ascii="Cambria Math" w:hAnsi="Cambria Math"/>
                  <w:szCs w:val="24"/>
                </w:rPr>
                <m:t>b</m:t>
              </m:r>
            </m:e>
            <m:sub>
              <m:r>
                <w:rPr>
                  <w:rFonts w:ascii="Cambria Math" w:hAnsi="Cambria Math"/>
                  <w:szCs w:val="24"/>
                </w:rPr>
                <m:t>1</m:t>
              </m:r>
            </m:sub>
          </m:sSub>
          <m:r>
            <w:rPr>
              <w:rFonts w:ascii="Cambria Math" w:hAnsi="Cambria Math"/>
              <w:szCs w:val="24"/>
            </w:rPr>
            <m:t>=</m:t>
          </m:r>
          <m:f>
            <m:fPr>
              <m:ctrlPr>
                <w:rPr>
                  <w:rFonts w:ascii="Cambria Math" w:hAnsi="Cambria Math"/>
                </w:rPr>
              </m:ctrlPr>
            </m:fPr>
            <m:num>
              <m:r>
                <w:rPr>
                  <w:rFonts w:ascii="Cambria Math" w:hAnsi="Cambria Math"/>
                  <w:szCs w:val="24"/>
                </w:rPr>
                <m:t>1</m:t>
              </m:r>
            </m:num>
            <m:den>
              <m:sSub>
                <m:sSubPr>
                  <m:ctrlPr>
                    <w:rPr>
                      <w:rFonts w:ascii="Cambria Math" w:hAnsi="Cambria Math"/>
                    </w:rPr>
                  </m:ctrlPr>
                </m:sSubPr>
                <m:e>
                  <m:r>
                    <w:rPr>
                      <w:rFonts w:ascii="Cambria Math" w:hAnsi="Cambria Math"/>
                      <w:szCs w:val="24"/>
                    </w:rPr>
                    <m:t>Price</m:t>
                  </m:r>
                </m:e>
                <m:sub>
                  <m:r>
                    <w:rPr>
                      <w:rFonts w:ascii="Cambria Math" w:hAnsi="Cambria Math"/>
                      <w:szCs w:val="24"/>
                    </w:rPr>
                    <m:t>prosumer,ch-inj,t</m:t>
                  </m:r>
                </m:sub>
              </m:sSub>
            </m:den>
          </m:f>
        </m:oMath>
      </m:oMathPara>
    </w:p>
    <w:p w14:paraId="48493DEF" w14:textId="77777777" w:rsidR="00155485" w:rsidRDefault="00B92B97">
      <w:pPr>
        <w:spacing w:after="100"/>
        <w:jc w:val="center"/>
      </w:pPr>
      <m:oMathPara>
        <m:oMath>
          <m:sSub>
            <m:sSubPr>
              <m:ctrlPr>
                <w:rPr>
                  <w:rFonts w:ascii="Cambria Math" w:hAnsi="Cambria Math"/>
                </w:rPr>
              </m:ctrlPr>
            </m:sSubPr>
            <m:e>
              <m:r>
                <w:rPr>
                  <w:rFonts w:ascii="Cambria Math" w:hAnsi="Cambria Math"/>
                  <w:szCs w:val="24"/>
                </w:rPr>
                <m:t>a</m:t>
              </m:r>
            </m:e>
            <m:sub>
              <m:r>
                <w:rPr>
                  <w:rFonts w:ascii="Cambria Math" w:hAnsi="Cambria Math"/>
                  <w:szCs w:val="24"/>
                </w:rPr>
                <m:t>1</m:t>
              </m:r>
            </m:sub>
          </m:sSub>
          <m:r>
            <w:rPr>
              <w:rFonts w:ascii="Cambria Math" w:hAnsi="Cambria Math"/>
              <w:szCs w:val="24"/>
            </w:rPr>
            <m:t>=</m:t>
          </m:r>
          <m:f>
            <m:fPr>
              <m:ctrlPr>
                <w:rPr>
                  <w:rFonts w:ascii="Cambria Math" w:hAnsi="Cambria Math"/>
                </w:rPr>
              </m:ctrlPr>
            </m:fPr>
            <m:num>
              <m:sSub>
                <m:sSubPr>
                  <m:ctrlPr>
                    <w:rPr>
                      <w:rFonts w:ascii="Cambria Math" w:hAnsi="Cambria Math"/>
                    </w:rPr>
                  </m:ctrlPr>
                </m:sSubPr>
                <m:e>
                  <m:r>
                    <w:rPr>
                      <w:rFonts w:ascii="Cambria Math" w:hAnsi="Cambria Math"/>
                      <w:szCs w:val="24"/>
                    </w:rPr>
                    <m:t>Price</m:t>
                  </m:r>
                </m:e>
                <m:sub>
                  <m:r>
                    <w:rPr>
                      <w:rFonts w:ascii="Cambria Math" w:hAnsi="Cambria Math"/>
                      <w:szCs w:val="24"/>
                    </w:rPr>
                    <m:t>spot,t</m:t>
                  </m:r>
                </m:sub>
              </m:sSub>
              <m:r>
                <w:rPr>
                  <w:rFonts w:ascii="Cambria Math" w:hAnsi="Cambria Math"/>
                  <w:szCs w:val="24"/>
                </w:rPr>
                <m:t>-</m:t>
              </m:r>
              <m:sSub>
                <m:sSubPr>
                  <m:ctrlPr>
                    <w:rPr>
                      <w:rFonts w:ascii="Cambria Math" w:hAnsi="Cambria Math"/>
                    </w:rPr>
                  </m:ctrlPr>
                </m:sSubPr>
                <m:e>
                  <m:r>
                    <w:rPr>
                      <w:rFonts w:ascii="Cambria Math" w:hAnsi="Cambria Math"/>
                      <w:szCs w:val="24"/>
                    </w:rPr>
                    <m:t>Price</m:t>
                  </m:r>
                </m:e>
                <m:sub>
                  <m:r>
                    <w:rPr>
                      <w:rFonts w:ascii="Cambria Math" w:hAnsi="Cambria Math"/>
                      <w:szCs w:val="24"/>
                    </w:rPr>
                    <m:t>prosumer,ch-inj,t</m:t>
                  </m:r>
                </m:sub>
              </m:sSub>
            </m:num>
            <m:den>
              <m:sSub>
                <m:sSubPr>
                  <m:ctrlPr>
                    <w:rPr>
                      <w:rFonts w:ascii="Cambria Math" w:hAnsi="Cambria Math"/>
                    </w:rPr>
                  </m:ctrlPr>
                </m:sSubPr>
                <m:e>
                  <m:r>
                    <w:rPr>
                      <w:rFonts w:ascii="Cambria Math" w:hAnsi="Cambria Math"/>
                      <w:szCs w:val="24"/>
                    </w:rPr>
                    <m:t>Price</m:t>
                  </m:r>
                </m:e>
                <m:sub>
                  <m:r>
                    <w:rPr>
                      <w:rFonts w:ascii="Cambria Math" w:hAnsi="Cambria Math"/>
                      <w:szCs w:val="24"/>
                    </w:rPr>
                    <m:t>spot,t</m:t>
                  </m:r>
                </m:sub>
              </m:sSub>
              <m:r>
                <w:rPr>
                  <w:rFonts w:ascii="Cambria Math" w:hAnsi="Cambria Math"/>
                  <w:szCs w:val="24"/>
                </w:rPr>
                <m:t>·</m:t>
              </m:r>
              <m:sSub>
                <m:sSubPr>
                  <m:ctrlPr>
                    <w:rPr>
                      <w:rFonts w:ascii="Cambria Math" w:hAnsi="Cambria Math"/>
                    </w:rPr>
                  </m:ctrlPr>
                </m:sSubPr>
                <m:e>
                  <m:r>
                    <w:rPr>
                      <w:rFonts w:ascii="Cambria Math" w:hAnsi="Cambria Math"/>
                      <w:szCs w:val="24"/>
                    </w:rPr>
                    <m:t>Price</m:t>
                  </m:r>
                </m:e>
                <m:sub>
                  <m:r>
                    <w:rPr>
                      <w:rFonts w:ascii="Cambria Math" w:hAnsi="Cambria Math"/>
                      <w:szCs w:val="24"/>
                    </w:rPr>
                    <m:t>prosumer,ch-inj,t</m:t>
                  </m:r>
                </m:sub>
              </m:sSub>
            </m:den>
          </m:f>
        </m:oMath>
      </m:oMathPara>
    </w:p>
    <w:p w14:paraId="3CD9CA39" w14:textId="77777777" w:rsidR="00155485" w:rsidRDefault="002019BB">
      <w:pPr>
        <w:jc w:val="both"/>
      </w:pPr>
      <w:r>
        <w:t>Substitution recovers Eq. (13):</w:t>
      </w:r>
    </w:p>
    <w:p w14:paraId="0A2FC2BA" w14:textId="77777777" w:rsidR="00155485" w:rsidRDefault="00B92B97">
      <w:pPr>
        <w:spacing w:after="100"/>
        <w:jc w:val="center"/>
      </w:pPr>
      <m:oMathPara>
        <m:oMath>
          <m:sSub>
            <m:sSubPr>
              <m:ctrlPr>
                <w:rPr>
                  <w:rFonts w:ascii="Cambria Math" w:hAnsi="Cambria Math"/>
                </w:rPr>
              </m:ctrlPr>
            </m:sSubPr>
            <m:e>
              <m:r>
                <w:rPr>
                  <w:rFonts w:ascii="Cambria Math" w:hAnsi="Cambria Math"/>
                  <w:szCs w:val="24"/>
                </w:rPr>
                <m:t>Price</m:t>
              </m:r>
            </m:e>
            <m:sub>
              <m:r>
                <w:rPr>
                  <w:rFonts w:ascii="Cambria Math" w:hAnsi="Cambria Math"/>
                  <w:szCs w:val="24"/>
                </w:rPr>
                <m:t>P2P,t</m:t>
              </m:r>
            </m:sub>
          </m:sSub>
          <m:r>
            <w:rPr>
              <w:rFonts w:ascii="Cambria Math" w:hAnsi="Cambria Math"/>
              <w:szCs w:val="24"/>
            </w:rPr>
            <m:t>=</m:t>
          </m:r>
          <m:f>
            <m:fPr>
              <m:ctrlPr>
                <w:rPr>
                  <w:rFonts w:ascii="Cambria Math" w:hAnsi="Cambria Math"/>
                </w:rPr>
              </m:ctrlPr>
            </m:fPr>
            <m:num>
              <m:sSub>
                <m:sSubPr>
                  <m:ctrlPr>
                    <w:rPr>
                      <w:rFonts w:ascii="Cambria Math" w:hAnsi="Cambria Math"/>
                    </w:rPr>
                  </m:ctrlPr>
                </m:sSubPr>
                <m:e>
                  <m:r>
                    <w:rPr>
                      <w:rFonts w:ascii="Cambria Math" w:hAnsi="Cambria Math"/>
                      <w:szCs w:val="24"/>
                    </w:rPr>
                    <m:t>Price</m:t>
                  </m:r>
                </m:e>
                <m:sub>
                  <m:r>
                    <w:rPr>
                      <w:rFonts w:ascii="Cambria Math" w:hAnsi="Cambria Math"/>
                      <w:szCs w:val="24"/>
                    </w:rPr>
                    <m:t>spot,t</m:t>
                  </m:r>
                </m:sub>
              </m:sSub>
              <m:r>
                <w:rPr>
                  <w:rFonts w:ascii="Cambria Math" w:hAnsi="Cambria Math"/>
                  <w:szCs w:val="24"/>
                </w:rPr>
                <m:t>·</m:t>
              </m:r>
              <m:sSub>
                <m:sSubPr>
                  <m:ctrlPr>
                    <w:rPr>
                      <w:rFonts w:ascii="Cambria Math" w:hAnsi="Cambria Math"/>
                    </w:rPr>
                  </m:ctrlPr>
                </m:sSubPr>
                <m:e>
                  <m:r>
                    <w:rPr>
                      <w:rFonts w:ascii="Cambria Math" w:hAnsi="Cambria Math"/>
                      <w:szCs w:val="24"/>
                    </w:rPr>
                    <m:t>Price</m:t>
                  </m:r>
                </m:e>
                <m:sub>
                  <m:r>
                    <w:rPr>
                      <w:rFonts w:ascii="Cambria Math" w:hAnsi="Cambria Math"/>
                      <w:szCs w:val="24"/>
                    </w:rPr>
                    <m:t>prosumer,ch-inj,t</m:t>
                  </m:r>
                </m:sub>
              </m:sSub>
            </m:num>
            <m:den>
              <m:d>
                <m:dPr>
                  <m:ctrlPr>
                    <w:rPr>
                      <w:rFonts w:ascii="Cambria Math" w:hAnsi="Cambria Math"/>
                    </w:rPr>
                  </m:ctrlPr>
                </m:dPr>
                <m:e>
                  <m:sSub>
                    <m:sSubPr>
                      <m:ctrlPr>
                        <w:rPr>
                          <w:rFonts w:ascii="Cambria Math" w:hAnsi="Cambria Math"/>
                        </w:rPr>
                      </m:ctrlPr>
                    </m:sSubPr>
                    <m:e>
                      <m:r>
                        <w:rPr>
                          <w:rFonts w:ascii="Cambria Math" w:hAnsi="Cambria Math"/>
                          <w:szCs w:val="24"/>
                        </w:rPr>
                        <m:t>Price</m:t>
                      </m:r>
                    </m:e>
                    <m:sub>
                      <m:r>
                        <w:rPr>
                          <w:rFonts w:ascii="Cambria Math" w:hAnsi="Cambria Math"/>
                          <w:szCs w:val="24"/>
                        </w:rPr>
                        <m:t>spot,t</m:t>
                      </m:r>
                    </m:sub>
                  </m:sSub>
                  <m:r>
                    <w:rPr>
                      <w:rFonts w:ascii="Cambria Math" w:hAnsi="Cambria Math"/>
                      <w:szCs w:val="24"/>
                    </w:rPr>
                    <m:t>-</m:t>
                  </m:r>
                  <m:sSub>
                    <m:sSubPr>
                      <m:ctrlPr>
                        <w:rPr>
                          <w:rFonts w:ascii="Cambria Math" w:hAnsi="Cambria Math"/>
                        </w:rPr>
                      </m:ctrlPr>
                    </m:sSubPr>
                    <m:e>
                      <m:r>
                        <w:rPr>
                          <w:rFonts w:ascii="Cambria Math" w:hAnsi="Cambria Math"/>
                          <w:szCs w:val="24"/>
                        </w:rPr>
                        <m:t>Price</m:t>
                      </m:r>
                    </m:e>
                    <m:sub>
                      <m:r>
                        <w:rPr>
                          <w:rFonts w:ascii="Cambria Math" w:hAnsi="Cambria Math"/>
                          <w:szCs w:val="24"/>
                        </w:rPr>
                        <m:t>prosumer,ch-inj,t</m:t>
                      </m:r>
                    </m:sub>
                  </m:sSub>
                </m:e>
              </m:d>
              <m:r>
                <w:rPr>
                  <w:rFonts w:ascii="Cambria Math" w:hAnsi="Cambria Math"/>
                  <w:szCs w:val="24"/>
                </w:rPr>
                <m:t>·</m:t>
              </m:r>
              <m:sSub>
                <m:sSubPr>
                  <m:ctrlPr>
                    <w:rPr>
                      <w:rFonts w:ascii="Cambria Math" w:hAnsi="Cambria Math"/>
                    </w:rPr>
                  </m:ctrlPr>
                </m:sSubPr>
                <m:e>
                  <m:r>
                    <w:rPr>
                      <w:rFonts w:ascii="Cambria Math" w:hAnsi="Cambria Math"/>
                      <w:szCs w:val="24"/>
                    </w:rPr>
                    <m:t>SDR</m:t>
                  </m:r>
                </m:e>
                <m:sub>
                  <m:r>
                    <w:rPr>
                      <w:rFonts w:ascii="Cambria Math" w:hAnsi="Cambria Math"/>
                      <w:szCs w:val="24"/>
                    </w:rPr>
                    <m:t>t</m:t>
                  </m:r>
                </m:sub>
              </m:sSub>
              <m:r>
                <w:rPr>
                  <w:rFonts w:ascii="Cambria Math" w:hAnsi="Cambria Math"/>
                  <w:szCs w:val="24"/>
                </w:rPr>
                <m:t>+</m:t>
              </m:r>
              <m:sSub>
                <m:sSubPr>
                  <m:ctrlPr>
                    <w:rPr>
                      <w:rFonts w:ascii="Cambria Math" w:hAnsi="Cambria Math"/>
                    </w:rPr>
                  </m:ctrlPr>
                </m:sSubPr>
                <m:e>
                  <m:r>
                    <w:rPr>
                      <w:rFonts w:ascii="Cambria Math" w:hAnsi="Cambria Math"/>
                      <w:szCs w:val="24"/>
                    </w:rPr>
                    <m:t>Price</m:t>
                  </m:r>
                </m:e>
                <m:sub>
                  <m:r>
                    <w:rPr>
                      <w:rFonts w:ascii="Cambria Math" w:hAnsi="Cambria Math"/>
                      <w:szCs w:val="24"/>
                    </w:rPr>
                    <m:t>prosumer,ch-inj,t</m:t>
                  </m:r>
                </m:sub>
              </m:sSub>
            </m:den>
          </m:f>
        </m:oMath>
      </m:oMathPara>
    </w:p>
    <w:p w14:paraId="654E2120" w14:textId="77777777" w:rsidR="00155485" w:rsidRDefault="002019BB">
      <w:pPr>
        <w:keepNext/>
        <w:spacing w:before="80"/>
      </w:pPr>
      <w:r>
        <w:rPr>
          <w:b/>
        </w:rPr>
        <w:t>Other retained analytical statements</w:t>
      </w:r>
    </w:p>
    <w:p w14:paraId="0159B460" w14:textId="77777777" w:rsidR="00155485" w:rsidRDefault="002019BB">
      <w:pPr>
        <w:jc w:val="both"/>
      </w:pPr>
      <w:r>
        <w:t>For the unconstrained interior consumption model, the source uses the marginal-utility condition and obtains the demand-price derivative:</w:t>
      </w:r>
    </w:p>
    <w:p w14:paraId="696981FE" w14:textId="77777777" w:rsidR="00155485" w:rsidRDefault="00B92B97">
      <w:pPr>
        <w:spacing w:after="100"/>
        <w:jc w:val="center"/>
      </w:pPr>
      <m:oMathPara>
        <m:oMath>
          <m:f>
            <m:fPr>
              <m:ctrlPr>
                <w:rPr>
                  <w:rFonts w:ascii="Cambria Math" w:hAnsi="Cambria Math"/>
                </w:rPr>
              </m:ctrlPr>
            </m:fPr>
            <m:num>
              <m:r>
                <w:rPr>
                  <w:rFonts w:ascii="Cambria Math" w:hAnsi="Cambria Math"/>
                  <w:szCs w:val="24"/>
                </w:rPr>
                <m:t>∂U</m:t>
              </m:r>
            </m:num>
            <m:den>
              <m:r>
                <w:rPr>
                  <w:rFonts w:ascii="Cambria Math" w:hAnsi="Cambria Math"/>
                  <w:szCs w:val="24"/>
                </w:rPr>
                <m:t>∂</m:t>
              </m:r>
              <m:sSub>
                <m:sSubPr>
                  <m:ctrlPr>
                    <w:rPr>
                      <w:rFonts w:ascii="Cambria Math" w:hAnsi="Cambria Math"/>
                    </w:rPr>
                  </m:ctrlPr>
                </m:sSubPr>
                <m:e>
                  <m:r>
                    <w:rPr>
                      <w:rFonts w:ascii="Cambria Math" w:hAnsi="Cambria Math"/>
                      <w:szCs w:val="24"/>
                    </w:rPr>
                    <m:t>E</m:t>
                  </m:r>
                </m:e>
                <m:sub>
                  <m:r>
                    <w:rPr>
                      <w:rFonts w:ascii="Cambria Math" w:hAnsi="Cambria Math"/>
                      <w:szCs w:val="24"/>
                    </w:rPr>
                    <m:t>t</m:t>
                  </m:r>
                </m:sub>
              </m:sSub>
            </m:den>
          </m:f>
          <m:r>
            <w:rPr>
              <w:rFonts w:ascii="Cambria Math" w:hAnsi="Cambria Math"/>
              <w:szCs w:val="24"/>
            </w:rPr>
            <m:t>=</m:t>
          </m:r>
          <m:sSub>
            <m:sSubPr>
              <m:ctrlPr>
                <w:rPr>
                  <w:rFonts w:ascii="Cambria Math" w:hAnsi="Cambria Math"/>
                </w:rPr>
              </m:ctrlPr>
            </m:sSubPr>
            <m:e>
              <m:r>
                <w:rPr>
                  <w:rFonts w:ascii="Cambria Math" w:hAnsi="Cambria Math"/>
                  <w:szCs w:val="24"/>
                </w:rPr>
                <m:t>Price</m:t>
              </m:r>
            </m:e>
            <m:sub>
              <m:r>
                <w:rPr>
                  <w:rFonts w:ascii="Cambria Math" w:hAnsi="Cambria Math"/>
                  <w:szCs w:val="24"/>
                </w:rPr>
                <m:t>elec,t</m:t>
              </m:r>
            </m:sub>
          </m:sSub>
          <m:r>
            <w:rPr>
              <w:rFonts w:ascii="Cambria Math" w:hAnsi="Cambria Math"/>
              <w:szCs w:val="24"/>
            </w:rPr>
            <m:t xml:space="preserve">,  </m:t>
          </m:r>
          <m:sSub>
            <m:sSubPr>
              <m:ctrlPr>
                <w:rPr>
                  <w:rFonts w:ascii="Cambria Math" w:hAnsi="Cambria Math"/>
                </w:rPr>
              </m:ctrlPr>
            </m:sSubPr>
            <m:e>
              <m:r>
                <w:rPr>
                  <w:rFonts w:ascii="Cambria Math" w:hAnsi="Cambria Math"/>
                  <w:szCs w:val="24"/>
                </w:rPr>
                <m:t>ω</m:t>
              </m:r>
            </m:e>
            <m:sub>
              <m:r>
                <w:rPr>
                  <w:rFonts w:ascii="Cambria Math" w:hAnsi="Cambria Math"/>
                  <w:szCs w:val="24"/>
                </w:rPr>
                <m:t>t</m:t>
              </m:r>
            </m:sub>
          </m:sSub>
          <m:r>
            <w:rPr>
              <w:rFonts w:ascii="Cambria Math" w:hAnsi="Cambria Math"/>
              <w:szCs w:val="24"/>
            </w:rPr>
            <m:t>-a·</m:t>
          </m:r>
          <m:sSub>
            <m:sSubPr>
              <m:ctrlPr>
                <w:rPr>
                  <w:rFonts w:ascii="Cambria Math" w:hAnsi="Cambria Math"/>
                </w:rPr>
              </m:ctrlPr>
            </m:sSubPr>
            <m:e>
              <m:r>
                <w:rPr>
                  <w:rFonts w:ascii="Cambria Math" w:hAnsi="Cambria Math"/>
                  <w:szCs w:val="24"/>
                </w:rPr>
                <m:t>E</m:t>
              </m:r>
            </m:e>
            <m:sub>
              <m:r>
                <w:rPr>
                  <w:rFonts w:ascii="Cambria Math" w:hAnsi="Cambria Math"/>
                  <w:szCs w:val="24"/>
                </w:rPr>
                <m:t>t</m:t>
              </m:r>
            </m:sub>
          </m:sSub>
          <m:r>
            <w:rPr>
              <w:rFonts w:ascii="Cambria Math" w:hAnsi="Cambria Math"/>
              <w:szCs w:val="24"/>
            </w:rPr>
            <m:t>=</m:t>
          </m:r>
          <m:sSub>
            <m:sSubPr>
              <m:ctrlPr>
                <w:rPr>
                  <w:rFonts w:ascii="Cambria Math" w:hAnsi="Cambria Math"/>
                </w:rPr>
              </m:ctrlPr>
            </m:sSubPr>
            <m:e>
              <m:r>
                <w:rPr>
                  <w:rFonts w:ascii="Cambria Math" w:hAnsi="Cambria Math"/>
                  <w:szCs w:val="24"/>
                </w:rPr>
                <m:t>Price</m:t>
              </m:r>
            </m:e>
            <m:sub>
              <m:r>
                <w:rPr>
                  <w:rFonts w:ascii="Cambria Math" w:hAnsi="Cambria Math"/>
                  <w:szCs w:val="24"/>
                </w:rPr>
                <m:t>elec,t</m:t>
              </m:r>
            </m:sub>
          </m:sSub>
        </m:oMath>
      </m:oMathPara>
    </w:p>
    <w:p w14:paraId="0FACD32E" w14:textId="77777777" w:rsidR="00155485" w:rsidRDefault="00B92B97">
      <w:pPr>
        <w:spacing w:after="100"/>
        <w:jc w:val="center"/>
      </w:pPr>
      <m:oMathPara>
        <m:oMath>
          <m:f>
            <m:fPr>
              <m:ctrlPr>
                <w:rPr>
                  <w:rFonts w:ascii="Cambria Math" w:hAnsi="Cambria Math"/>
                </w:rPr>
              </m:ctrlPr>
            </m:fPr>
            <m:num>
              <m:r>
                <w:rPr>
                  <w:rFonts w:ascii="Cambria Math" w:hAnsi="Cambria Math"/>
                  <w:szCs w:val="24"/>
                </w:rPr>
                <m:t>d</m:t>
              </m:r>
              <m:sSub>
                <m:sSubPr>
                  <m:ctrlPr>
                    <w:rPr>
                      <w:rFonts w:ascii="Cambria Math" w:hAnsi="Cambria Math"/>
                    </w:rPr>
                  </m:ctrlPr>
                </m:sSubPr>
                <m:e>
                  <m:r>
                    <w:rPr>
                      <w:rFonts w:ascii="Cambria Math" w:hAnsi="Cambria Math"/>
                      <w:szCs w:val="24"/>
                    </w:rPr>
                    <m:t>E</m:t>
                  </m:r>
                </m:e>
                <m:sub>
                  <m:r>
                    <w:rPr>
                      <w:rFonts w:ascii="Cambria Math" w:hAnsi="Cambria Math"/>
                      <w:szCs w:val="24"/>
                    </w:rPr>
                    <m:t>grid,t</m:t>
                  </m:r>
                </m:sub>
              </m:sSub>
            </m:num>
            <m:den>
              <m:r>
                <w:rPr>
                  <w:rFonts w:ascii="Cambria Math" w:hAnsi="Cambria Math"/>
                  <w:szCs w:val="24"/>
                </w:rPr>
                <m:t>d</m:t>
              </m:r>
              <m:sSub>
                <m:sSubPr>
                  <m:ctrlPr>
                    <w:rPr>
                      <w:rFonts w:ascii="Cambria Math" w:hAnsi="Cambria Math"/>
                    </w:rPr>
                  </m:ctrlPr>
                </m:sSubPr>
                <m:e>
                  <m:r>
                    <w:rPr>
                      <w:rFonts w:ascii="Cambria Math" w:hAnsi="Cambria Math"/>
                      <w:szCs w:val="24"/>
                    </w:rPr>
                    <m:t>Price</m:t>
                  </m:r>
                </m:e>
                <m:sub>
                  <m:r>
                    <w:rPr>
                      <w:rFonts w:ascii="Cambria Math" w:hAnsi="Cambria Math"/>
                      <w:szCs w:val="24"/>
                    </w:rPr>
                    <m:t>spot,t</m:t>
                  </m:r>
                </m:sub>
              </m:sSub>
            </m:den>
          </m:f>
          <m:r>
            <w:rPr>
              <w:rFonts w:ascii="Cambria Math" w:hAnsi="Cambria Math"/>
              <w:szCs w:val="24"/>
            </w:rPr>
            <m:t>=-</m:t>
          </m:r>
          <m:f>
            <m:fPr>
              <m:ctrlPr>
                <w:rPr>
                  <w:rFonts w:ascii="Cambria Math" w:hAnsi="Cambria Math"/>
                </w:rPr>
              </m:ctrlPr>
            </m:fPr>
            <m:num>
              <m:r>
                <w:rPr>
                  <w:rFonts w:ascii="Cambria Math" w:hAnsi="Cambria Math"/>
                  <w:szCs w:val="24"/>
                </w:rPr>
                <m:t>1</m:t>
              </m:r>
            </m:num>
            <m:den>
              <m:r>
                <w:rPr>
                  <w:rFonts w:ascii="Cambria Math" w:hAnsi="Cambria Math"/>
                  <w:szCs w:val="24"/>
                </w:rPr>
                <m:t>a</m:t>
              </m:r>
            </m:den>
          </m:f>
        </m:oMath>
      </m:oMathPara>
    </w:p>
    <w:p w14:paraId="742E4BD9" w14:textId="77777777" w:rsidR="00155485" w:rsidRDefault="002019BB">
      <w:pPr>
        <w:jc w:val="both"/>
      </w:pPr>
      <w:r>
        <w:t>The source also states the following directional relationship between community battery capacity and the variance of SDR. It is retained as a source proposition, not established here by a new proof or simulation:</w:t>
      </w:r>
    </w:p>
    <w:p w14:paraId="2F20B041" w14:textId="77777777" w:rsidR="00155485" w:rsidRDefault="00B92B97">
      <w:pPr>
        <w:spacing w:after="100"/>
        <w:jc w:val="center"/>
      </w:pPr>
      <m:oMathPara>
        <m:oMath>
          <m:f>
            <m:fPr>
              <m:ctrlPr>
                <w:rPr>
                  <w:rFonts w:ascii="Cambria Math" w:hAnsi="Cambria Math"/>
                </w:rPr>
              </m:ctrlPr>
            </m:fPr>
            <m:num>
              <m:r>
                <w:rPr>
                  <w:rFonts w:ascii="Cambria Math" w:hAnsi="Cambria Math"/>
                  <w:szCs w:val="24"/>
                </w:rPr>
                <m:t>∂Var</m:t>
              </m:r>
              <m:d>
                <m:dPr>
                  <m:ctrlPr>
                    <w:rPr>
                      <w:rFonts w:ascii="Cambria Math" w:hAnsi="Cambria Math"/>
                    </w:rPr>
                  </m:ctrlPr>
                </m:dPr>
                <m:e>
                  <m:sSub>
                    <m:sSubPr>
                      <m:ctrlPr>
                        <w:rPr>
                          <w:rFonts w:ascii="Cambria Math" w:hAnsi="Cambria Math"/>
                        </w:rPr>
                      </m:ctrlPr>
                    </m:sSubPr>
                    <m:e>
                      <m:r>
                        <w:rPr>
                          <w:rFonts w:ascii="Cambria Math" w:hAnsi="Cambria Math"/>
                          <w:szCs w:val="24"/>
                        </w:rPr>
                        <m:t>SDR</m:t>
                      </m:r>
                    </m:e>
                    <m:sub>
                      <m:r>
                        <w:rPr>
                          <w:rFonts w:ascii="Cambria Math" w:hAnsi="Cambria Math"/>
                          <w:szCs w:val="24"/>
                        </w:rPr>
                        <m:t>t</m:t>
                      </m:r>
                    </m:sub>
                  </m:sSub>
                </m:e>
              </m:d>
            </m:num>
            <m:den>
              <m:r>
                <w:rPr>
                  <w:rFonts w:ascii="Cambria Math" w:hAnsi="Cambria Math"/>
                  <w:szCs w:val="24"/>
                </w:rPr>
                <m:t>∂</m:t>
              </m:r>
              <m:sSubSup>
                <m:sSubSupPr>
                  <m:ctrlPr>
                    <w:rPr>
                      <w:rFonts w:ascii="Cambria Math" w:hAnsi="Cambria Math"/>
                    </w:rPr>
                  </m:ctrlPr>
                </m:sSubSupPr>
                <m:e>
                  <m:r>
                    <w:rPr>
                      <w:rFonts w:ascii="Cambria Math" w:hAnsi="Cambria Math"/>
                      <w:szCs w:val="24"/>
                    </w:rPr>
                    <m:t>C</m:t>
                  </m:r>
                </m:e>
                <m:sub>
                  <m:r>
                    <w:rPr>
                      <w:rFonts w:ascii="Cambria Math" w:hAnsi="Cambria Math"/>
                      <w:szCs w:val="24"/>
                    </w:rPr>
                    <m:t>bat</m:t>
                  </m:r>
                </m:sub>
                <m:sup>
                  <m:r>
                    <w:rPr>
                      <w:rFonts w:ascii="Cambria Math" w:hAnsi="Cambria Math"/>
                      <w:szCs w:val="24"/>
                    </w:rPr>
                    <m:t>Community</m:t>
                  </m:r>
                </m:sup>
              </m:sSubSup>
            </m:den>
          </m:f>
          <m:r>
            <w:rPr>
              <w:rFonts w:ascii="Cambria Math" w:hAnsi="Cambria Math"/>
              <w:szCs w:val="24"/>
            </w:rPr>
            <m:t>&lt;0</m:t>
          </m:r>
        </m:oMath>
      </m:oMathPara>
    </w:p>
    <w:p w14:paraId="14168129" w14:textId="77777777" w:rsidR="00155485" w:rsidRDefault="002019BB">
      <w:pPr>
        <w:jc w:val="both"/>
      </w:pPr>
      <w:r>
        <w:t>The capacity-aware charging and discharging quantities, the unconstrained elasticity expression and the source degradation expression remain visible in Eqs. (6), (8), (4) and (16) of the main insert. Repeated inline variable labels and repeated explanatory sentences are not duplicated here.</w:t>
      </w:r>
    </w:p>
    <w:p w14:paraId="574F289F" w14:textId="23FCD069" w:rsidR="00155485" w:rsidRDefault="00155485" w:rsidP="002019BB"/>
    <w:sectPr w:rsidR="00155485" w:rsidSect="00892E7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61E7D"/>
    <w:multiLevelType w:val="multilevel"/>
    <w:tmpl w:val="CC9A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1754"/>
    <w:multiLevelType w:val="hybridMultilevel"/>
    <w:tmpl w:val="E006D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61F95"/>
    <w:multiLevelType w:val="multilevel"/>
    <w:tmpl w:val="9D0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E5F15"/>
    <w:multiLevelType w:val="multilevel"/>
    <w:tmpl w:val="FC6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862F8"/>
    <w:multiLevelType w:val="multilevel"/>
    <w:tmpl w:val="2B4C6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84FCB"/>
    <w:multiLevelType w:val="multilevel"/>
    <w:tmpl w:val="7BE22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50CA0"/>
    <w:multiLevelType w:val="multilevel"/>
    <w:tmpl w:val="F208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B7001"/>
    <w:multiLevelType w:val="multilevel"/>
    <w:tmpl w:val="7CC2BD1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37F9B"/>
    <w:multiLevelType w:val="multilevel"/>
    <w:tmpl w:val="557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D3947"/>
    <w:multiLevelType w:val="multilevel"/>
    <w:tmpl w:val="0C2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76329"/>
    <w:multiLevelType w:val="multilevel"/>
    <w:tmpl w:val="C4E41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71EB1"/>
    <w:multiLevelType w:val="multilevel"/>
    <w:tmpl w:val="5CCC8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816B7A"/>
    <w:multiLevelType w:val="hybridMultilevel"/>
    <w:tmpl w:val="EC507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DD4544"/>
    <w:multiLevelType w:val="multilevel"/>
    <w:tmpl w:val="100A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B7761"/>
    <w:multiLevelType w:val="multilevel"/>
    <w:tmpl w:val="0840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17E34"/>
    <w:multiLevelType w:val="multilevel"/>
    <w:tmpl w:val="C130F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E411F"/>
    <w:multiLevelType w:val="multilevel"/>
    <w:tmpl w:val="01ECF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15885"/>
    <w:multiLevelType w:val="hybridMultilevel"/>
    <w:tmpl w:val="45A67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816C1B"/>
    <w:multiLevelType w:val="multilevel"/>
    <w:tmpl w:val="3422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75F00"/>
    <w:multiLevelType w:val="multilevel"/>
    <w:tmpl w:val="7B2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C6E35"/>
    <w:multiLevelType w:val="multilevel"/>
    <w:tmpl w:val="E106571A"/>
    <w:lvl w:ilvl="0">
      <w:start w:val="5"/>
      <w:numFmt w:val="decimal"/>
      <w:lvlText w:val="%1."/>
      <w:lvlJc w:val="left"/>
      <w:pPr>
        <w:ind w:left="720" w:hanging="360"/>
      </w:pPr>
      <w:rPr>
        <w:rFonts w:hint="default"/>
      </w:rPr>
    </w:lvl>
    <w:lvl w:ilvl="1">
      <w:start w:val="9"/>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B001582"/>
    <w:multiLevelType w:val="multilevel"/>
    <w:tmpl w:val="BAB68CCA"/>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034AD"/>
    <w:multiLevelType w:val="multilevel"/>
    <w:tmpl w:val="15D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12308"/>
    <w:multiLevelType w:val="hybridMultilevel"/>
    <w:tmpl w:val="B08A1C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7A8201D"/>
    <w:multiLevelType w:val="multilevel"/>
    <w:tmpl w:val="706A2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16B52"/>
    <w:multiLevelType w:val="multilevel"/>
    <w:tmpl w:val="F60C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15507"/>
    <w:multiLevelType w:val="multilevel"/>
    <w:tmpl w:val="8108A2C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0351C1C"/>
    <w:multiLevelType w:val="multilevel"/>
    <w:tmpl w:val="43407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FE2C08"/>
    <w:multiLevelType w:val="multilevel"/>
    <w:tmpl w:val="B3125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156BB"/>
    <w:multiLevelType w:val="multilevel"/>
    <w:tmpl w:val="000C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B422C"/>
    <w:multiLevelType w:val="multilevel"/>
    <w:tmpl w:val="B084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228D6"/>
    <w:multiLevelType w:val="multilevel"/>
    <w:tmpl w:val="B5C0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2F1423"/>
    <w:multiLevelType w:val="multilevel"/>
    <w:tmpl w:val="5E46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32"/>
  </w:num>
  <w:num w:numId="4">
    <w:abstractNumId w:val="30"/>
  </w:num>
  <w:num w:numId="5">
    <w:abstractNumId w:val="7"/>
  </w:num>
  <w:num w:numId="6">
    <w:abstractNumId w:val="4"/>
  </w:num>
  <w:num w:numId="7">
    <w:abstractNumId w:val="3"/>
  </w:num>
  <w:num w:numId="8">
    <w:abstractNumId w:val="0"/>
  </w:num>
  <w:num w:numId="9">
    <w:abstractNumId w:val="16"/>
  </w:num>
  <w:num w:numId="10">
    <w:abstractNumId w:val="15"/>
  </w:num>
  <w:num w:numId="11">
    <w:abstractNumId w:val="24"/>
  </w:num>
  <w:num w:numId="12">
    <w:abstractNumId w:val="28"/>
  </w:num>
  <w:num w:numId="13">
    <w:abstractNumId w:val="10"/>
  </w:num>
  <w:num w:numId="14">
    <w:abstractNumId w:val="11"/>
  </w:num>
  <w:num w:numId="15">
    <w:abstractNumId w:val="13"/>
  </w:num>
  <w:num w:numId="16">
    <w:abstractNumId w:val="27"/>
  </w:num>
  <w:num w:numId="17">
    <w:abstractNumId w:val="12"/>
  </w:num>
  <w:num w:numId="18">
    <w:abstractNumId w:val="2"/>
  </w:num>
  <w:num w:numId="19">
    <w:abstractNumId w:val="23"/>
  </w:num>
  <w:num w:numId="20">
    <w:abstractNumId w:val="9"/>
  </w:num>
  <w:num w:numId="21">
    <w:abstractNumId w:val="21"/>
  </w:num>
  <w:num w:numId="22">
    <w:abstractNumId w:val="22"/>
  </w:num>
  <w:num w:numId="23">
    <w:abstractNumId w:val="25"/>
  </w:num>
  <w:num w:numId="24">
    <w:abstractNumId w:val="6"/>
  </w:num>
  <w:num w:numId="25">
    <w:abstractNumId w:val="18"/>
  </w:num>
  <w:num w:numId="26">
    <w:abstractNumId w:val="29"/>
  </w:num>
  <w:num w:numId="27">
    <w:abstractNumId w:val="19"/>
  </w:num>
  <w:num w:numId="28">
    <w:abstractNumId w:val="17"/>
  </w:num>
  <w:num w:numId="29">
    <w:abstractNumId w:val="14"/>
  </w:num>
  <w:num w:numId="30">
    <w:abstractNumId w:val="31"/>
  </w:num>
  <w:num w:numId="31">
    <w:abstractNumId w:val="26"/>
  </w:num>
  <w:num w:numId="32">
    <w:abstractNumId w:val="20"/>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56F"/>
    <w:rsid w:val="00112E48"/>
    <w:rsid w:val="00155485"/>
    <w:rsid w:val="0017505E"/>
    <w:rsid w:val="002019BB"/>
    <w:rsid w:val="00334862"/>
    <w:rsid w:val="005B2168"/>
    <w:rsid w:val="00722BCF"/>
    <w:rsid w:val="00892E7E"/>
    <w:rsid w:val="00B2056F"/>
    <w:rsid w:val="00B92B97"/>
    <w:rsid w:val="00C63467"/>
    <w:rsid w:val="00C66A9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75EB0F9"/>
  <w14:defaultImageDpi w14:val="32767"/>
  <w15:chartTrackingRefBased/>
  <w15:docId w15:val="{3DB2A49E-A515-4C40-BC42-0EB74C06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12E48"/>
    <w:pPr>
      <w:spacing w:after="40"/>
    </w:pPr>
    <w:rPr>
      <w:rFonts w:ascii="Times New Roman" w:hAnsi="Times New Roman"/>
      <w:color w:val="000000"/>
      <w:sz w:val="24"/>
    </w:rPr>
  </w:style>
  <w:style w:type="paragraph" w:styleId="Heading1">
    <w:name w:val="heading 1"/>
    <w:basedOn w:val="Normal"/>
    <w:link w:val="Heading1Char"/>
    <w:uiPriority w:val="9"/>
    <w:qFormat/>
    <w:rsid w:val="00112E48"/>
    <w:pPr>
      <w:spacing w:before="80" w:beforeAutospacing="1" w:afterAutospacing="1"/>
      <w:outlineLvl w:val="0"/>
    </w:pPr>
    <w:rPr>
      <w:rFonts w:eastAsia="Times New Roman" w:cs="Times New Roman"/>
      <w:b/>
      <w:bCs/>
      <w:kern w:val="36"/>
      <w:szCs w:val="36"/>
      <w:lang w:val="en-US"/>
    </w:rPr>
  </w:style>
  <w:style w:type="paragraph" w:styleId="Heading2">
    <w:name w:val="heading 2"/>
    <w:basedOn w:val="Normal"/>
    <w:next w:val="Normal"/>
    <w:link w:val="Heading2Char"/>
    <w:uiPriority w:val="9"/>
    <w:unhideWhenUsed/>
    <w:qFormat/>
    <w:rsid w:val="00112E48"/>
    <w:pPr>
      <w:keepNext/>
      <w:keepLines/>
      <w:spacing w:before="80"/>
      <w:outlineLvl w:val="1"/>
    </w:pPr>
    <w:rPr>
      <w:rFonts w:asciiTheme="majorHAnsi" w:eastAsiaTheme="majorEastAsia" w:hAnsiTheme="majorHAnsi" w:cstheme="majorBidi"/>
      <w:b/>
      <w:bCs/>
      <w:szCs w:val="26"/>
      <w:lang w:val="en-US"/>
    </w:rPr>
  </w:style>
  <w:style w:type="paragraph" w:styleId="Heading3">
    <w:name w:val="heading 3"/>
    <w:basedOn w:val="Normal"/>
    <w:next w:val="Normal"/>
    <w:link w:val="Heading3Char"/>
    <w:uiPriority w:val="9"/>
    <w:unhideWhenUsed/>
    <w:qFormat/>
    <w:rsid w:val="00112E48"/>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B2056F"/>
    <w:pPr>
      <w:keepNext/>
      <w:keepLines/>
      <w:spacing w:before="40"/>
      <w:outlineLvl w:val="3"/>
    </w:pPr>
    <w:rPr>
      <w:rFonts w:asciiTheme="majorHAnsi" w:eastAsiaTheme="majorEastAsia" w:hAnsiTheme="majorHAnsi" w:cstheme="majorBidi"/>
      <w:i/>
      <w:iCs/>
      <w:color w:val="365F91" w:themeColor="accent1" w:themeShade="BF"/>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E48"/>
    <w:rPr>
      <w:rFonts w:ascii="Verdana" w:eastAsia="Times New Roman" w:hAnsi="Verdana" w:cs="Times New Roman"/>
      <w:b/>
      <w:bCs/>
      <w:kern w:val="36"/>
      <w:sz w:val="36"/>
      <w:szCs w:val="36"/>
      <w:lang w:val="en-US"/>
    </w:rPr>
  </w:style>
  <w:style w:type="character" w:customStyle="1" w:styleId="Heading2Char">
    <w:name w:val="Heading 2 Char"/>
    <w:basedOn w:val="DefaultParagraphFont"/>
    <w:link w:val="Heading2"/>
    <w:uiPriority w:val="9"/>
    <w:rsid w:val="00112E48"/>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112E48"/>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link w:val="SubtitleChar"/>
    <w:uiPriority w:val="11"/>
    <w:qFormat/>
    <w:rsid w:val="00112E48"/>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112E48"/>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12E48"/>
    <w:rPr>
      <w:b/>
      <w:bCs/>
    </w:rPr>
  </w:style>
  <w:style w:type="paragraph" w:styleId="ListParagraph">
    <w:name w:val="List Paragraph"/>
    <w:basedOn w:val="Normal"/>
    <w:uiPriority w:val="34"/>
    <w:qFormat/>
    <w:rsid w:val="00112E48"/>
    <w:pPr>
      <w:ind w:left="720"/>
      <w:contextualSpacing/>
    </w:pPr>
  </w:style>
  <w:style w:type="paragraph" w:styleId="TOCHeading">
    <w:name w:val="TOC Heading"/>
    <w:basedOn w:val="Heading1"/>
    <w:next w:val="Normal"/>
    <w:uiPriority w:val="39"/>
    <w:unhideWhenUsed/>
    <w:qFormat/>
    <w:rsid w:val="00112E48"/>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character" w:customStyle="1" w:styleId="Heading4Char">
    <w:name w:val="Heading 4 Char"/>
    <w:basedOn w:val="DefaultParagraphFont"/>
    <w:link w:val="Heading4"/>
    <w:uiPriority w:val="9"/>
    <w:semiHidden/>
    <w:rsid w:val="00B2056F"/>
    <w:rPr>
      <w:rFonts w:asciiTheme="majorHAnsi" w:eastAsiaTheme="majorEastAsia" w:hAnsiTheme="majorHAnsi" w:cstheme="majorBidi"/>
      <w:i/>
      <w:iCs/>
      <w:color w:val="365F91" w:themeColor="accent1" w:themeShade="BF"/>
      <w:sz w:val="24"/>
      <w:szCs w:val="24"/>
      <w:lang w:val="en-US"/>
    </w:rPr>
  </w:style>
  <w:style w:type="numbering" w:customStyle="1" w:styleId="NoList1">
    <w:name w:val="No List1"/>
    <w:next w:val="NoList"/>
    <w:uiPriority w:val="99"/>
    <w:semiHidden/>
    <w:unhideWhenUsed/>
    <w:rsid w:val="00B2056F"/>
  </w:style>
  <w:style w:type="numbering" w:customStyle="1" w:styleId="NoList11">
    <w:name w:val="No List11"/>
    <w:next w:val="NoList"/>
    <w:uiPriority w:val="99"/>
    <w:semiHidden/>
    <w:unhideWhenUsed/>
    <w:rsid w:val="00B2056F"/>
  </w:style>
  <w:style w:type="paragraph" w:customStyle="1" w:styleId="msonormal0">
    <w:name w:val="msonormal"/>
    <w:basedOn w:val="Normal"/>
    <w:rsid w:val="00B2056F"/>
    <w:pPr>
      <w:spacing w:before="100" w:beforeAutospacing="1" w:after="100" w:afterAutospacing="1"/>
    </w:pPr>
    <w:rPr>
      <w:rFonts w:eastAsia="Times New Roman" w:cs="Times New Roman"/>
      <w:szCs w:val="24"/>
      <w:lang w:val="en-US"/>
    </w:rPr>
  </w:style>
  <w:style w:type="character" w:styleId="Hyperlink">
    <w:name w:val="Hyperlink"/>
    <w:basedOn w:val="DefaultParagraphFont"/>
    <w:uiPriority w:val="99"/>
    <w:unhideWhenUsed/>
    <w:rsid w:val="00B2056F"/>
    <w:rPr>
      <w:color w:val="0000FF"/>
      <w:u w:val="single"/>
    </w:rPr>
  </w:style>
  <w:style w:type="character" w:styleId="FollowedHyperlink">
    <w:name w:val="FollowedHyperlink"/>
    <w:basedOn w:val="DefaultParagraphFont"/>
    <w:uiPriority w:val="99"/>
    <w:semiHidden/>
    <w:unhideWhenUsed/>
    <w:rsid w:val="00B2056F"/>
    <w:rPr>
      <w:color w:val="800080"/>
      <w:u w:val="single"/>
    </w:rPr>
  </w:style>
  <w:style w:type="character" w:customStyle="1" w:styleId="r1qwuf">
    <w:name w:val="r1qwuf"/>
    <w:basedOn w:val="DefaultParagraphFont"/>
    <w:rsid w:val="00B2056F"/>
  </w:style>
  <w:style w:type="character" w:customStyle="1" w:styleId="fxbaof">
    <w:name w:val="fxbaof"/>
    <w:basedOn w:val="DefaultParagraphFont"/>
    <w:rsid w:val="00B2056F"/>
  </w:style>
  <w:style w:type="character" w:customStyle="1" w:styleId="twmgnb">
    <w:name w:val="twmgnb"/>
    <w:basedOn w:val="DefaultParagraphFont"/>
    <w:rsid w:val="00B2056F"/>
  </w:style>
  <w:style w:type="character" w:customStyle="1" w:styleId="bn6gpe">
    <w:name w:val="bn6gpe"/>
    <w:basedOn w:val="DefaultParagraphFont"/>
    <w:rsid w:val="00B2056F"/>
  </w:style>
  <w:style w:type="character" w:customStyle="1" w:styleId="utnhae">
    <w:name w:val="utnhae"/>
    <w:basedOn w:val="DefaultParagraphFont"/>
    <w:rsid w:val="00B2056F"/>
  </w:style>
  <w:style w:type="character" w:customStyle="1" w:styleId="i36cje">
    <w:name w:val="i36cje"/>
    <w:basedOn w:val="DefaultParagraphFont"/>
    <w:rsid w:val="00B2056F"/>
  </w:style>
  <w:style w:type="character" w:customStyle="1" w:styleId="vndci">
    <w:name w:val="vndci"/>
    <w:basedOn w:val="DefaultParagraphFont"/>
    <w:rsid w:val="00B2056F"/>
  </w:style>
  <w:style w:type="character" w:customStyle="1" w:styleId="mtejhd">
    <w:name w:val="mtejhd"/>
    <w:basedOn w:val="DefaultParagraphFont"/>
    <w:rsid w:val="00B2056F"/>
  </w:style>
  <w:style w:type="character" w:customStyle="1" w:styleId="dtet0b">
    <w:name w:val="dtet0b"/>
    <w:basedOn w:val="DefaultParagraphFont"/>
    <w:rsid w:val="00B2056F"/>
  </w:style>
  <w:style w:type="character" w:customStyle="1" w:styleId="dhpvt">
    <w:name w:val="dhpvt"/>
    <w:basedOn w:val="DefaultParagraphFont"/>
    <w:rsid w:val="00B2056F"/>
  </w:style>
  <w:style w:type="character" w:customStyle="1" w:styleId="nmq1me">
    <w:name w:val="nmq1me"/>
    <w:basedOn w:val="DefaultParagraphFont"/>
    <w:rsid w:val="00B2056F"/>
  </w:style>
  <w:style w:type="character" w:customStyle="1" w:styleId="pxxqye">
    <w:name w:val="pxxqye"/>
    <w:basedOn w:val="DefaultParagraphFont"/>
    <w:rsid w:val="00B2056F"/>
  </w:style>
  <w:style w:type="paragraph" w:customStyle="1" w:styleId="z1qcye">
    <w:name w:val="z1qcye"/>
    <w:basedOn w:val="Normal"/>
    <w:rsid w:val="00B2056F"/>
    <w:pPr>
      <w:spacing w:before="100" w:beforeAutospacing="1" w:after="100" w:afterAutospacing="1"/>
    </w:pPr>
    <w:rPr>
      <w:rFonts w:eastAsia="Times New Roman" w:cs="Times New Roman"/>
      <w:szCs w:val="24"/>
      <w:lang w:val="en-US"/>
    </w:rPr>
  </w:style>
  <w:style w:type="character" w:customStyle="1" w:styleId="t286pc">
    <w:name w:val="t286pc"/>
    <w:basedOn w:val="DefaultParagraphFont"/>
    <w:rsid w:val="00B2056F"/>
  </w:style>
  <w:style w:type="character" w:customStyle="1" w:styleId="e5xycb">
    <w:name w:val="e5xycb"/>
    <w:basedOn w:val="DefaultParagraphFont"/>
    <w:rsid w:val="00B2056F"/>
  </w:style>
  <w:style w:type="character" w:customStyle="1" w:styleId="jaokjc">
    <w:name w:val="jaokjc"/>
    <w:basedOn w:val="DefaultParagraphFont"/>
    <w:rsid w:val="00B2056F"/>
  </w:style>
  <w:style w:type="character" w:styleId="Emphasis">
    <w:name w:val="Emphasis"/>
    <w:basedOn w:val="DefaultParagraphFont"/>
    <w:uiPriority w:val="20"/>
    <w:qFormat/>
    <w:rsid w:val="00B2056F"/>
    <w:rPr>
      <w:i/>
      <w:iCs/>
    </w:rPr>
  </w:style>
  <w:style w:type="character" w:customStyle="1" w:styleId="cpgbzb">
    <w:name w:val="cpgbzb"/>
    <w:basedOn w:val="DefaultParagraphFont"/>
    <w:rsid w:val="00B2056F"/>
  </w:style>
  <w:style w:type="paragraph" w:styleId="HTMLPreformatted">
    <w:name w:val="HTML Preformatted"/>
    <w:basedOn w:val="Normal"/>
    <w:link w:val="HTMLPreformattedChar"/>
    <w:uiPriority w:val="99"/>
    <w:semiHidden/>
    <w:unhideWhenUsed/>
    <w:rsid w:val="00B20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2056F"/>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B2056F"/>
    <w:rPr>
      <w:rFonts w:ascii="Courier New" w:eastAsia="Times New Roman" w:hAnsi="Courier New" w:cs="Courier New"/>
      <w:sz w:val="20"/>
      <w:szCs w:val="20"/>
    </w:rPr>
  </w:style>
  <w:style w:type="character" w:customStyle="1" w:styleId="undefined">
    <w:name w:val="undefined"/>
    <w:basedOn w:val="DefaultParagraphFont"/>
    <w:rsid w:val="00B2056F"/>
  </w:style>
  <w:style w:type="character" w:customStyle="1" w:styleId="wbgiic">
    <w:name w:val="wbgiic"/>
    <w:basedOn w:val="DefaultParagraphFont"/>
    <w:rsid w:val="00B2056F"/>
  </w:style>
  <w:style w:type="character" w:customStyle="1" w:styleId="dnwgb">
    <w:name w:val="dnwgb"/>
    <w:basedOn w:val="DefaultParagraphFont"/>
    <w:rsid w:val="00B2056F"/>
  </w:style>
  <w:style w:type="character" w:customStyle="1" w:styleId="qnca8b">
    <w:name w:val="qnca8b"/>
    <w:basedOn w:val="DefaultParagraphFont"/>
    <w:rsid w:val="00B2056F"/>
  </w:style>
  <w:style w:type="character" w:customStyle="1" w:styleId="okuhje">
    <w:name w:val="okuhje"/>
    <w:basedOn w:val="DefaultParagraphFont"/>
    <w:rsid w:val="00B2056F"/>
  </w:style>
  <w:style w:type="character" w:customStyle="1" w:styleId="v6k2cb">
    <w:name w:val="v6k2cb"/>
    <w:basedOn w:val="DefaultParagraphFont"/>
    <w:rsid w:val="00B2056F"/>
  </w:style>
  <w:style w:type="character" w:customStyle="1" w:styleId="ljlab">
    <w:name w:val="ljlab"/>
    <w:basedOn w:val="DefaultParagraphFont"/>
    <w:rsid w:val="00B2056F"/>
  </w:style>
  <w:style w:type="character" w:customStyle="1" w:styleId="lq3yhb">
    <w:name w:val="lq3yhb"/>
    <w:basedOn w:val="DefaultParagraphFont"/>
    <w:rsid w:val="00B2056F"/>
  </w:style>
  <w:style w:type="character" w:customStyle="1" w:styleId="lqfa5">
    <w:name w:val="lqfa5"/>
    <w:basedOn w:val="DefaultParagraphFont"/>
    <w:rsid w:val="00B2056F"/>
  </w:style>
  <w:style w:type="paragraph" w:customStyle="1" w:styleId="jydcyd">
    <w:name w:val="jydcyd"/>
    <w:basedOn w:val="Normal"/>
    <w:rsid w:val="00B2056F"/>
    <w:pPr>
      <w:spacing w:before="100" w:beforeAutospacing="1" w:after="100" w:afterAutospacing="1"/>
    </w:pPr>
    <w:rPr>
      <w:rFonts w:eastAsia="Times New Roman" w:cs="Times New Roman"/>
      <w:szCs w:val="24"/>
      <w:lang w:val="en-US"/>
    </w:rPr>
  </w:style>
  <w:style w:type="character" w:customStyle="1" w:styleId="vhj6pe">
    <w:name w:val="vhj6pe"/>
    <w:basedOn w:val="DefaultParagraphFont"/>
    <w:rsid w:val="00B2056F"/>
  </w:style>
  <w:style w:type="character" w:customStyle="1" w:styleId="z1jfyc">
    <w:name w:val="z1jfyc"/>
    <w:basedOn w:val="DefaultParagraphFont"/>
    <w:rsid w:val="00B2056F"/>
  </w:style>
  <w:style w:type="character" w:customStyle="1" w:styleId="r0r5r">
    <w:name w:val="r0r5r"/>
    <w:basedOn w:val="DefaultParagraphFont"/>
    <w:rsid w:val="00B2056F"/>
  </w:style>
  <w:style w:type="character" w:customStyle="1" w:styleId="zjr8l">
    <w:name w:val="zjr8l"/>
    <w:basedOn w:val="DefaultParagraphFont"/>
    <w:rsid w:val="00B2056F"/>
  </w:style>
  <w:style w:type="character" w:styleId="UnresolvedMention">
    <w:name w:val="Unresolved Mention"/>
    <w:basedOn w:val="DefaultParagraphFont"/>
    <w:uiPriority w:val="99"/>
    <w:rsid w:val="00B2056F"/>
    <w:rPr>
      <w:color w:val="605E5C"/>
      <w:shd w:val="clear" w:color="auto" w:fill="E1DFDD"/>
    </w:rPr>
  </w:style>
  <w:style w:type="paragraph" w:styleId="NormalWeb">
    <w:name w:val="Normal (Web)"/>
    <w:basedOn w:val="Normal"/>
    <w:uiPriority w:val="99"/>
    <w:unhideWhenUsed/>
    <w:rsid w:val="00B2056F"/>
    <w:pPr>
      <w:spacing w:before="100" w:beforeAutospacing="1" w:after="100" w:afterAutospacing="1"/>
    </w:pPr>
    <w:rPr>
      <w:rFonts w:eastAsia="Times New Roman" w:cs="Times New Roman"/>
      <w:szCs w:val="24"/>
      <w:lang w:val="en-US"/>
    </w:rPr>
  </w:style>
  <w:style w:type="character" w:styleId="PlaceholderText">
    <w:name w:val="Placeholder Text"/>
    <w:basedOn w:val="DefaultParagraphFont"/>
    <w:uiPriority w:val="99"/>
    <w:semiHidden/>
    <w:rsid w:val="00B2056F"/>
    <w:rPr>
      <w:color w:val="808080"/>
    </w:rPr>
  </w:style>
  <w:style w:type="numbering" w:customStyle="1" w:styleId="NoList2">
    <w:name w:val="No List2"/>
    <w:next w:val="NoList"/>
    <w:uiPriority w:val="99"/>
    <w:semiHidden/>
    <w:unhideWhenUsed/>
    <w:rsid w:val="00B2056F"/>
  </w:style>
  <w:style w:type="paragraph" w:customStyle="1" w:styleId="isselectedend">
    <w:name w:val="isselectedend"/>
    <w:basedOn w:val="Normal"/>
    <w:rsid w:val="00B2056F"/>
    <w:pPr>
      <w:spacing w:before="100" w:beforeAutospacing="1" w:after="100" w:afterAutospacing="1"/>
    </w:pPr>
    <w:rPr>
      <w:rFonts w:eastAsia="Times New Roman" w:cs="Times New Roman"/>
      <w:szCs w:val="24"/>
      <w:lang w:val="en-US"/>
    </w:rPr>
  </w:style>
  <w:style w:type="character" w:customStyle="1" w:styleId="text-token-text-primary">
    <w:name w:val="text-token-text-primary"/>
    <w:basedOn w:val="DefaultParagraphFont"/>
    <w:rsid w:val="00B2056F"/>
  </w:style>
  <w:style w:type="table" w:styleId="TableGrid">
    <w:name w:val="Table Grid"/>
    <w:basedOn w:val="TableNormal"/>
    <w:uiPriority w:val="39"/>
    <w:rsid w:val="00B205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B2056F"/>
    <w:pPr>
      <w:spacing w:before="100" w:beforeAutospacing="1" w:after="100" w:afterAutospacing="1"/>
    </w:pPr>
    <w:rPr>
      <w:rFonts w:eastAsia="Times New Roman" w:cs="Times New Roman"/>
      <w:szCs w:val="24"/>
      <w:lang w:val="en-US"/>
    </w:rPr>
  </w:style>
  <w:style w:type="paragraph" w:customStyle="1" w:styleId="chakra-text">
    <w:name w:val="chakra-text"/>
    <w:basedOn w:val="Normal"/>
    <w:rsid w:val="00B2056F"/>
    <w:pPr>
      <w:spacing w:before="100" w:beforeAutospacing="1" w:after="100" w:afterAutospacing="1"/>
    </w:pPr>
    <w:rPr>
      <w:rFonts w:eastAsia="Times New Roman" w:cs="Times New Roman"/>
      <w:szCs w:val="24"/>
      <w:lang w:val="en-US"/>
    </w:rPr>
  </w:style>
  <w:style w:type="paragraph" w:styleId="Bibliography">
    <w:name w:val="Bibliography"/>
    <w:basedOn w:val="Normal"/>
    <w:next w:val="Normal"/>
    <w:uiPriority w:val="37"/>
    <w:unhideWhenUsed/>
    <w:rsid w:val="00B2056F"/>
    <w:rPr>
      <w:rFonts w:eastAsia="Times New Roman" w:cs="Times New Roman"/>
      <w:szCs w:val="24"/>
      <w:lang w:val="en-US"/>
    </w:rPr>
  </w:style>
  <w:style w:type="character" w:customStyle="1" w:styleId="u-text-bold">
    <w:name w:val="u-text-bold"/>
    <w:basedOn w:val="DefaultParagraphFont"/>
    <w:rsid w:val="00B2056F"/>
  </w:style>
  <w:style w:type="paragraph" w:styleId="BodyText">
    <w:name w:val="Body Text"/>
    <w:basedOn w:val="Normal"/>
    <w:link w:val="BodyTextChar"/>
    <w:uiPriority w:val="99"/>
    <w:semiHidden/>
    <w:unhideWhenUsed/>
    <w:rsid w:val="00B2056F"/>
    <w:rPr>
      <w:rFonts w:eastAsia="Times New Roman" w:cs="Times New Roman"/>
      <w:szCs w:val="24"/>
      <w:lang w:val="en-US"/>
    </w:rPr>
  </w:style>
  <w:style w:type="character" w:customStyle="1" w:styleId="BodyTextChar">
    <w:name w:val="Body Text Char"/>
    <w:basedOn w:val="DefaultParagraphFont"/>
    <w:link w:val="BodyText"/>
    <w:uiPriority w:val="99"/>
    <w:semiHidden/>
    <w:rsid w:val="00B2056F"/>
    <w:rPr>
      <w:rFonts w:ascii="Times New Roman" w:eastAsia="Times New Roman" w:hAnsi="Times New Roman" w:cs="Times New Roman"/>
      <w:sz w:val="24"/>
      <w:szCs w:val="24"/>
      <w:lang w:val="en-US"/>
    </w:rPr>
  </w:style>
  <w:style w:type="paragraph" w:customStyle="1" w:styleId="c-article-identifiersitem">
    <w:name w:val="c-article-identifiers__item"/>
    <w:basedOn w:val="Normal"/>
    <w:rsid w:val="00B2056F"/>
    <w:pPr>
      <w:spacing w:before="100" w:beforeAutospacing="1" w:after="100" w:afterAutospacing="1"/>
    </w:pPr>
    <w:rPr>
      <w:rFonts w:eastAsia="Times New Roman" w:cs="Times New Roman"/>
      <w:szCs w:val="24"/>
      <w:lang w:val="en-US"/>
    </w:rPr>
  </w:style>
  <w:style w:type="paragraph" w:styleId="Header">
    <w:name w:val="header"/>
    <w:basedOn w:val="Normal"/>
    <w:link w:val="HeaderChar"/>
    <w:uiPriority w:val="99"/>
    <w:unhideWhenUsed/>
    <w:rsid w:val="00B2056F"/>
    <w:pPr>
      <w:tabs>
        <w:tab w:val="center" w:pos="4680"/>
        <w:tab w:val="right" w:pos="9360"/>
      </w:tabs>
    </w:pPr>
    <w:rPr>
      <w:rFonts w:eastAsia="Times New Roman" w:cs="Times New Roman"/>
      <w:szCs w:val="24"/>
      <w:lang w:val="en-US"/>
    </w:rPr>
  </w:style>
  <w:style w:type="character" w:customStyle="1" w:styleId="HeaderChar">
    <w:name w:val="Header Char"/>
    <w:basedOn w:val="DefaultParagraphFont"/>
    <w:link w:val="Header"/>
    <w:uiPriority w:val="99"/>
    <w:rsid w:val="00B2056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2056F"/>
    <w:pPr>
      <w:tabs>
        <w:tab w:val="center" w:pos="4680"/>
        <w:tab w:val="right" w:pos="9360"/>
      </w:tabs>
    </w:pPr>
    <w:rPr>
      <w:rFonts w:eastAsia="Times New Roman" w:cs="Times New Roman"/>
      <w:szCs w:val="24"/>
      <w:lang w:val="en-US"/>
    </w:rPr>
  </w:style>
  <w:style w:type="character" w:customStyle="1" w:styleId="FooterChar">
    <w:name w:val="Footer Char"/>
    <w:basedOn w:val="DefaultParagraphFont"/>
    <w:link w:val="Footer"/>
    <w:uiPriority w:val="99"/>
    <w:rsid w:val="00B2056F"/>
    <w:rPr>
      <w:rFonts w:ascii="Times New Roman" w:eastAsia="Times New Roman" w:hAnsi="Times New Roman" w:cs="Times New Roman"/>
      <w:sz w:val="24"/>
      <w:szCs w:val="24"/>
      <w:lang w:val="en-US"/>
    </w:rPr>
  </w:style>
  <w:style w:type="character" w:customStyle="1" w:styleId="inlineblock">
    <w:name w:val="inlineblock"/>
    <w:basedOn w:val="DefaultParagraphFont"/>
    <w:rsid w:val="00B2056F"/>
  </w:style>
  <w:style w:type="paragraph" w:customStyle="1" w:styleId="peoplelistitemname">
    <w:name w:val="peoplelistitem__name"/>
    <w:basedOn w:val="Normal"/>
    <w:rsid w:val="00B2056F"/>
    <w:pPr>
      <w:spacing w:before="100" w:beforeAutospacing="1" w:after="100" w:afterAutospacing="1"/>
    </w:pPr>
    <w:rPr>
      <w:rFonts w:eastAsia="Times New Roman" w:cs="Times New Roman"/>
      <w:szCs w:val="24"/>
      <w:lang w:val="en-US"/>
    </w:rPr>
  </w:style>
  <w:style w:type="paragraph" w:styleId="BalloonText">
    <w:name w:val="Balloon Text"/>
    <w:basedOn w:val="Normal"/>
    <w:link w:val="BalloonTextChar"/>
    <w:uiPriority w:val="99"/>
    <w:semiHidden/>
    <w:unhideWhenUsed/>
    <w:rsid w:val="00B2056F"/>
    <w:rPr>
      <w:rFonts w:eastAsia="Times New Roman" w:cs="Times New Roman"/>
      <w:sz w:val="18"/>
      <w:szCs w:val="18"/>
      <w:lang w:val="en-US"/>
    </w:rPr>
  </w:style>
  <w:style w:type="character" w:customStyle="1" w:styleId="BalloonTextChar">
    <w:name w:val="Balloon Text Char"/>
    <w:basedOn w:val="DefaultParagraphFont"/>
    <w:link w:val="BalloonText"/>
    <w:uiPriority w:val="99"/>
    <w:semiHidden/>
    <w:rsid w:val="00B2056F"/>
    <w:rPr>
      <w:rFonts w:ascii="Times New Roman" w:eastAsia="Times New Roman" w:hAnsi="Times New Roman" w:cs="Times New Roman"/>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Fah</b:Tag>
    <b:SourceType>JournalArticle</b:SourceType>
    <b:Guid>{1FDB43A2-FA85-BF40-A124-0C7F8F576D92}</b:Guid>
    <b:Title>Designing incentive compatible contracts for effective demand management</b:Title>
    <b:Publisher>IEEE, DOI: 10.1109/59.898098</b:Publisher>
    <b:Author>
      <b:Author>
        <b:NameList>
          <b:Person>
            <b:Last>Fahrioglu</b:Last>
            <b:First>M.</b:First>
          </b:Person>
          <b:Person>
            <b:Last>Alvarado</b:Last>
            <b:Middle>L.</b:Middle>
            <b:First>F.</b:First>
          </b:Person>
        </b:NameList>
      </b:Author>
    </b:Author>
    <b:JournalName>Transactions on Power Systems</b:JournalName>
    <b:Volume>15</b:Volume>
    <b:Issue>4</b:Issue>
    <b:Pages>1255-1260</b:Pages>
    <b:Year>2000</b:Year>
    <b:RefOrder>1</b:RefOrder>
  </b:Source>
  <b:Source>
    <b:Tag>Sam10</b:Tag>
    <b:SourceType>ConferenceProceedings</b:SourceType>
    <b:Guid>{9BA72190-B4F9-7A4D-966D-4A805F889F31}</b:Guid>
    <b:Title>Optimal real-time pricing algorithm based on utility maximization for smart grid</b:Title>
    <b:Year>2010</b:Year>
    <b:Pages>415-420</b:Pages>
    <b:Author>
      <b:Author>
        <b:NameList>
          <b:Person>
            <b:Last>Samadi</b:Last>
            <b:First>P.</b:First>
          </b:Person>
          <b:Person>
            <b:Last>Mohsenian-Rad</b:Last>
            <b:Middle>H.</b:Middle>
            <b:First>A.</b:First>
          </b:Person>
          <b:Person>
            <b:Last>Schober</b:Last>
            <b:First>R.</b:First>
          </b:Person>
          <b:Person>
            <b:Last>Wong </b:Last>
            <b:Middle>W.</b:Middle>
            <b:First>V.</b:First>
          </b:Person>
          <b:Person>
            <b:Last>Jatskevich</b:Last>
            <b:First>J.</b:First>
          </b:Person>
        </b:NameList>
      </b:Author>
    </b:Author>
    <b:Publisher>IEEE</b:Publisher>
    <b:ConferenceName>International Conference on Smart Grid Communications</b:ConferenceName>
    <b:RefOrder>2</b:RefOrder>
  </b:Source>
  <b:Source>
    <b:Tag>Wan19</b:Tag>
    <b:SourceType>JournalArticle</b:SourceType>
    <b:Guid>{FCB320CD-D6A4-1843-8F05-2E2D97006110}</b:Guid>
    <b:JournalName>Journal of Modern Power Systems and Clean Energy</b:JournalName>
    <b:Year>2019</b:Year>
    <b:Volume>7</b:Volume>
    <b:Pages>1280-1293</b:Pages>
    <b:Author>
      <b:Author>
        <b:NameList>
          <b:Person>
            <b:Last>Wang</b:Last>
            <b:First>H.</b:First>
          </b:Person>
          <b:Person>
            <b:Last>Gao</b:Last>
            <b:First>Y.</b:First>
          </b:Person>
        </b:NameList>
      </b:Author>
    </b:Author>
    <b:Publisher>Springer Nature Link</b:Publisher>
    <b:Title>Real-time pricing method for smart grids based on complementarity problem</b:Title>
    <b:RefOrder>3</b:RefOrder>
  </b:Source>
  <b:Source>
    <b:Tag>LiN11</b:Tag>
    <b:SourceType>ConferenceProceedings</b:SourceType>
    <b:Guid>{11817562-0CD9-5B43-BD3D-F8962F642916}</b:Guid>
    <b:Title>Optimal demand response based on utility maximization in power networks</b:Title>
    <b:Year>2011</b:Year>
    <b:Pages>1-8</b:Pages>
    <b:Author>
      <b:Author>
        <b:NameList>
          <b:Person>
            <b:Last>Li </b:Last>
            <b:First>N.</b:First>
          </b:Person>
          <b:Person>
            <b:Last>Chen</b:Last>
            <b:First>L.</b:First>
          </b:Person>
          <b:Person>
            <b:Last>Low</b:Last>
            <b:Middle>H.</b:Middle>
            <b:First>S.</b:First>
          </b:Person>
        </b:NameList>
      </b:Author>
    </b:Author>
    <b:Publisher>IEEE</b:Publisher>
    <b:ShortTitle> DOI: 10.1109/PES.2011.6039082</b:ShortTitle>
    <b:ConferenceName>Power and Energy Society General Meeting</b:ConferenceName>
    <b:RefOrder>4</b:RefOrder>
  </b:Source>
  <b:Source>
    <b:Tag>Cha14</b:Tag>
    <b:SourceType>JournalArticle</b:SourceType>
    <b:Guid>{6FCD64B4-7A4F-C74F-ADAA-A0973F4D014B}</b:Guid>
    <b:Title>A distributed algorithm of appliance scheduling for home energy management system</b:Title>
    <b:JournalName>IEEE Transactions on Smart Grid</b:JournalName>
    <b:Year>2014</b:Year>
    <b:Author>
      <b:Author>
        <b:NameList>
          <b:Person>
            <b:Last>Chavali</b:Last>
            <b:First>P.</b:First>
          </b:Person>
          <b:Person>
            <b:Last>Yang</b:Last>
            <b:First>P.</b:First>
          </b:Person>
          <b:Person>
            <b:Last>Nehorai</b:Last>
            <b:First>A.</b:First>
          </b:Person>
        </b:NameList>
      </b:Author>
    </b:Author>
    <b:Volume>5</b:Volume>
    <b:Issue>1</b:Issue>
    <b:Pages>282-290</b:Pages>
    <b:RefOrder>5</b:RefOrder>
  </b:Source>
  <b:Source>
    <b:Tag>Zor14</b:Tag>
    <b:SourceType>JournalArticle</b:SourceType>
    <b:Guid>{39EF46D7-0B2A-8C42-8C5B-7E8C5B0B9E6B}</b:Guid>
    <b:Title>A Survey on Demand Response Programs in Smart Grids: Pricing Methods and Optimization Algorithms</b:Title>
    <b:JournalName>IEEE Communications Surveys &amp; Tutorials OI: 10.1109/COMST.2014.2341586</b:JournalName>
    <b:Year>2014</b:Year>
    <b:Volume>17</b:Volume>
    <b:Issue>1</b:Issue>
    <b:Pages>152-178</b:Pages>
    <b:Author>
      <b:Author>
        <b:NameList>
          <b:Person>
            <b:Last>Zorba</b:Last>
            <b:First>Nizar</b:First>
          </b:Person>
          <b:Person>
            <b:Last>Vardakas</b:Last>
            <b:First>John</b:First>
          </b:Person>
          <b:Person>
            <b:Last>Verikooukis</b:Last>
            <b:First>Christos</b:First>
          </b:Person>
        </b:NameList>
      </b:Author>
    </b:Author>
    <b:Publisher>IEEE </b:Publisher>
    <b:Month>October</b:Month>
    <b:RefOrder>6</b:RefOrder>
  </b:Source>
  <b:Source>
    <b:Tag>Tus19</b:Tag>
    <b:SourceType>JournalArticle</b:SourceType>
    <b:Guid>{A071C3AD-06B1-D849-A9AF-36E93A7B1E1E}</b:Guid>
    <b:Title>A motivational game-theoretic approach for peer-to-peer energy trading</b:Title>
    <b:Year>2019</b:Year>
    <b:Author>
      <b:Author>
        <b:NameList>
          <b:Person>
            <b:Last>Tushar</b:Last>
            <b:First>W.</b:First>
          </b:Person>
          <b:Person>
            <b:Last>Saha</b:Last>
            <b:Middle>K.</b:Middle>
            <b:First>T.</b:First>
          </b:Person>
          <b:Person>
            <b:Last>Yuen</b:Last>
            <b:First>C.</b:First>
          </b:Person>
          <b:Person>
            <b:Last>Morstyn</b:Last>
            <b:First>T.</b:First>
          </b:Person>
          <b:Person>
            <b:Last>Mc Culloch</b:Last>
            <b:Middle>D.</b:Middle>
            <b:First>M.</b:First>
          </b:Person>
          <b:Person>
            <b:Last>Poor</b:Last>
            <b:Middle>V.</b:Middle>
            <b:First>H.</b:First>
          </b:Person>
          <b:Person>
            <b:Last>Wood</b:Last>
            <b:Middle>L.</b:Middle>
            <b:First>K.</b:First>
          </b:Person>
        </b:NameList>
      </b:Author>
    </b:Author>
    <b:JournalName>Applied Energy https://doi.org/10.1016/j.apenergy.2019.03.111</b:JournalName>
    <b:Volume>243</b:Volume>
    <b:Issue>1</b:Issue>
    <b:Pages>10-20</b:Pages>
    <b:RefOrder>7</b:RefOrder>
  </b:Source>
  <b:Source>
    <b:Tag>Men18</b:Tag>
    <b:SourceType>JournalArticle</b:SourceType>
    <b:Guid>{3BAD3D18-8EE4-1C48-B36F-EBE0C6A445B9}</b:Guid>
    <b:Title>Designing microgrid energy markets: A case study: The Brooklyn Microogrid</b:Title>
    <b:JournalName>Applied Energy https://doi.org/10.1016/j.apenergy.2017.06.054</b:JournalName>
    <b:Year>2018</b:Year>
    <b:Author>
      <b:Author>
        <b:NameList>
          <b:Person>
            <b:Last>Mengelkamp</b:Last>
            <b:First>E.</b:First>
          </b:Person>
          <b:Person>
            <b:Last>Garttner</b:Last>
            <b:First>J.</b:First>
          </b:Person>
          <b:Person>
            <b:Last>Rock</b:Last>
            <b:First>K.</b:First>
          </b:Person>
          <b:Person>
            <b:Last>Kessler</b:Last>
            <b:First>S.</b:First>
          </b:Person>
          <b:Person>
            <b:Last>Orsini</b:Last>
            <b:First>L.</b:First>
          </b:Person>
          <b:Person>
            <b:Last>Weinhardt</b:Last>
            <b:First>C.</b:First>
          </b:Person>
        </b:NameList>
      </b:Author>
    </b:Author>
    <b:Volume>210</b:Volume>
    <b:Pages>870-880</b:Pages>
    <b:Publisher>Elsevier</b:Publisher>
    <b:RefOrder>8</b:RefOrder>
  </b:Source>
  <b:Source>
    <b:Tag>Sor18</b:Tag>
    <b:SourceType>JournalArticle</b:SourceType>
    <b:Guid>{7E6BABAF-73C6-8146-AD0D-886996737AC4}</b:Guid>
    <b:Title>Consesus-based approach to peer-to-peer electricity markets with product differentiation</b:Title>
    <b:JournalName>IEEE Transactions on Power Systems DOI: 10.1109/TPWRS.2018.2872880</b:JournalName>
    <b:Year>2019</b:Year>
    <b:Volume>34</b:Volume>
    <b:Issue>2</b:Issue>
    <b:Pages>994-1004</b:Pages>
    <b:Author>
      <b:Author>
        <b:NameList>
          <b:Person>
            <b:Last>Sorin</b:Last>
            <b:First>E.</b:First>
          </b:Person>
          <b:Person>
            <b:Last>Bobo</b:Last>
            <b:First>L.</b:First>
          </b:Person>
          <b:Person>
            <b:Last>Pinson</b:Last>
            <b:First>P.</b:First>
          </b:Person>
        </b:NameList>
      </b:Author>
    </b:Author>
    <b:RefOrder>9</b:RefOrder>
  </b:Source>
  <b:Source>
    <b:Tag>Klo19</b:Tag>
    <b:SourceType>JournalArticle</b:SourceType>
    <b:Guid>{84C9242A-3AAC-9D46-B983-4BB59EDAB676}</b:Guid>
    <b:Title>Digital Platforms and the future of energy prosumption: The role of blockchain technology in the Netherlands</b:Title>
    <b:JournalName>Energy Research &amp; Social Science https://doi.org/10.1016/j.erss.2018.10.016</b:JournalName>
    <b:Year>2019</b:Year>
    <b:Volume>49</b:Volume>
    <b:Pages>68-73</b:Pages>
    <b:Author>
      <b:Author>
        <b:NameList>
          <b:Person>
            <b:Last>Kloppenburg</b:Last>
            <b:First>S.</b:First>
          </b:Person>
          <b:Person>
            <b:Last>Boekelo</b:Last>
            <b:First>M.</b:First>
          </b:Person>
        </b:NameList>
      </b:Author>
    </b:Author>
    <b:Month>March</b:Month>
    <b:RefOrder>10</b:RefOrder>
  </b:Source>
  <b:Source>
    <b:Tag>Wan22</b:Tag>
    <b:SourceType>JournalArticle</b:SourceType>
    <b:Guid>{2F906B4D-DC35-B14A-B00C-CC11ABF3A1C7}</b:Guid>
    <b:Title>Design of integrated energy market cloud serivce platfrom based on blockchain smart contract</b:Title>
    <b:JournalName>International Journal of Electrical Power &amp; Energy Systems</b:JournalName>
    <b:Year>2022</b:Year>
    <b:Volume>135</b:Volume>
    <b:Author>
      <b:Author>
        <b:NameList>
          <b:Person>
            <b:Last>Wang</b:Last>
            <b:First>L.</b:First>
          </b:Person>
          <b:Person>
            <b:Last>Yichao</b:Last>
            <b:First>M.</b:First>
          </b:Person>
          <b:Person>
            <b:Last>Liuzhu</b:Last>
            <b:First>Z.</b:First>
          </b:Person>
          <b:Person>
            <b:Last>Wang</b:Last>
            <b:First>X.</b:First>
          </b:Person>
          <b:Person>
            <b:Last>Cong</b:Last>
            <b:First>H.</b:First>
          </b:Person>
          <b:Person>
            <b:Last>Shi</b:Last>
            <b:First>T.</b:First>
          </b:Person>
        </b:NameList>
      </b:Author>
    </b:Author>
    <b:Publisher>Elsevier https://doi.org/10.1016/j.ijepes.2021.107515</b:Publisher>
    <b:Month>February</b:Month>
    <b:RefOrder>11</b:RefOrder>
  </b:Source>
  <b:Source>
    <b:Tag>Ran</b:Tag>
    <b:SourceType>Report</b:SourceType>
    <b:Guid>{65126050-4864-D04A-973C-DB04296B9604}</b:Guid>
    <b:Author>
      <b:Author>
        <b:NameList>
          <b:Person>
            <b:Last>Rangelova</b:Last>
            <b:First>K.</b:First>
          </b:Person>
          <b:Person>
            <b:Last>Johnes</b:Last>
            <b:First>D.</b:First>
          </b:Person>
        </b:NameList>
      </b:Author>
    </b:Author>
    <b:Publisher>EMBER</b:Publisher>
    <b:Year>2025</b:Year>
    <b:Title>How cheap is battery storage?</b:Title>
    <b:ShortTitle>https://ember-energy.org/latest-insights/how-cheap-is-battery-storage/</b:ShortTitle>
    <b:RefOrder>12</b:RefOrder>
  </b:Source>
  <b:Source>
    <b:Tag>Dix94</b:Tag>
    <b:SourceType>Book</b:SourceType>
    <b:Guid>{454B3162-04B1-A940-9C7A-9A6E9C6AE154}</b:Guid>
    <b:Title>Investments under uncertainty</b:Title>
    <b:Year>1994</b:Year>
    <b:Author>
      <b:Author>
        <b:NameList>
          <b:Person>
            <b:Last>Dixit</b:Last>
            <b:First>A.</b:First>
          </b:Person>
          <b:Person>
            <b:Last>Pindyck</b:Last>
            <b:First>R.</b:First>
          </b:Person>
        </b:NameList>
      </b:Author>
    </b:Author>
    <b:Publisher>Princeton University Press</b:Publisher>
    <b:Edition>1</b:Edition>
    <b:RefOrder>13</b:RefOrder>
  </b:Source>
  <b:Source>
    <b:Tag>Nad23</b:Tag>
    <b:SourceType>JournalArticle</b:SourceType>
    <b:Guid>{7FF979C1-6C00-8448-A595-BE8C7C18283C}</b:Guid>
    <b:Title>A review of the operations literature on real options in energy</b:Title>
    <b:Publisher>Elsevier</b:Publisher>
    <b:Year>2023</b:Year>
    <b:Author>
      <b:Author>
        <b:NameList>
          <b:Person>
            <b:Last>Nadarajah</b:Last>
            <b:First>S.</b:First>
          </b:Person>
          <b:Person>
            <b:Last>Secomandi</b:Last>
            <b:First>N.</b:First>
          </b:Person>
        </b:NameList>
      </b:Author>
    </b:Author>
    <b:Volume>309</b:Volume>
    <b:Pages>469-487</b:Pages>
    <b:JournalName>European Journal of Operational Research</b:JournalName>
    <b:Month>September</b:Month>
    <b:Issue>2</b:Issue>
    <b:RefOrder>14</b:RefOrder>
  </b:Source>
  <b:Source>
    <b:Tag>Jae22</b:Tag>
    <b:SourceType>JournalArticle</b:SourceType>
    <b:Guid>{3B9E0670-E811-F24C-A2B2-FA260D4A93DF}</b:Guid>
    <b:Title>A Review on the Degradation Implementation for the Operation of Battery Energy Storage Systems</b:Title>
    <b:Year>2022</b:Year>
    <b:Author>
      <b:Author>
        <b:NameList>
          <b:Person>
            <b:Last>Miguel</b:Last>
          </b:Person>
          <b:Person>
            <b:Last>Martinez</b:Last>
          </b:Person>
          <b:Person>
            <b:Last>Gomez</b:Last>
          </b:Person>
          <b:Person>
            <b:Last>Plazza</b:Last>
          </b:Person>
          <b:Person>
            <b:Last>Assensio</b:Last>
          </b:Person>
        </b:NameList>
      </b:Author>
    </b:Author>
    <b:Volume>110</b:Volume>
    <b:Issue>8</b:Issue>
    <b:Publisher>MDPI</b:Publisher>
    <b:City>https://doi.org/10.3390/batteries8090110</b:City>
    <b:JournalName>Batteries</b:JournalName>
    <b:RefOrder>15</b:RefOrder>
  </b:Source>
  <b:Source>
    <b:Tag>Orb16</b:Tag>
    <b:SourceType>JournalArticle</b:SourceType>
    <b:Guid>{A4B280ED-7CB5-6F40-9FE8-EA7E613891CB}</b:Guid>
    <b:Title>Optimal bidding strategy of battery storage in power markets considering degradation</b:Title>
    <b:Year>2016</b:Year>
    <b:Author>
      <b:Author>
        <b:NameList>
          <b:Person>
            <b:Last>Orbit</b:Last>
            <b:First>DTU</b:First>
          </b:Person>
          <b:Person>
            <b:Last>Chen</b:Last>
            <b:Middle>He.</b:Middle>
            <b:First>G.</b:First>
          </b:Person>
          <b:Person>
            <b:Last>Kang</b:Last>
            <b:First>Q.</b:First>
          </b:Person>
          <b:Person>
            <b:Last>Pinson</b:Last>
            <b:First>P.</b:First>
          </b:Person>
          <b:Person>
            <b:Last>Xia</b:Last>
            <b:First>Q.</b:First>
          </b:Person>
        </b:NameList>
      </b:Author>
    </b:Author>
    <b:Publisher>IEEE https://doi.org/10.1109/TSG.2015.2424314</b:Publisher>
    <b:JournalName>IEEE Transactions on Smart Grid</b:JournalName>
    <b:City>Tsinghua University</b:City>
    <b:Volume>7</b:Volume>
    <b:Issue>5</b:Issue>
    <b:Pages>9, 2359 - 2367</b:Pages>
    <b:RefOrder>16</b:RefOrder>
  </b:Source>
</b:Sources>
</file>

<file path=customXml/itemProps1.xml><?xml version="1.0" encoding="utf-8"?>
<ds:datastoreItem xmlns:ds="http://schemas.openxmlformats.org/officeDocument/2006/customXml" ds:itemID="{A2354CC0-03A9-5C43-8A6A-30F7610E7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535</Words>
  <Characters>3056</Characters>
  <Application>Microsoft Office Word</Application>
  <DocSecurity>0</DocSecurity>
  <Lines>25</Lines>
  <Paragraphs>7</Paragraphs>
  <ScaleCrop>false</ScaleCrop>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notes, retained derivation, tables and reference records</dc:title>
  <dc:subject/>
  <dc:creator>STEVE DEVVES</dc:creator>
  <cp:keywords/>
  <dc:description/>
  <cp:lastModifiedBy>STEVE DEVVES</cp:lastModifiedBy>
  <cp:revision>4</cp:revision>
  <dcterms:created xsi:type="dcterms:W3CDTF">2026-10-02T10:14:00Z</dcterms:created>
  <dcterms:modified xsi:type="dcterms:W3CDTF">2026-10-03T14:25:00Z</dcterms:modified>
</cp:coreProperties>
</file>