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Mixture</w:t>
      </w:r>
      <w:r>
        <w:t xml:space="preserve"> </w:t>
      </w:r>
      <w:r>
        <w:t xml:space="preserve">Cure</w:t>
      </w:r>
      <w:r>
        <w:t xml:space="preserve"> </w:t>
      </w:r>
      <w:r>
        <w:t xml:space="preserve">Modelling</w:t>
      </w:r>
      <w:r>
        <w:t xml:space="preserve"> </w:t>
      </w:r>
      <w:r>
        <w:t xml:space="preserve">in</w:t>
      </w:r>
      <w:r>
        <w:t xml:space="preserve"> </w:t>
      </w:r>
      <w:r>
        <w:t xml:space="preserve">Metastatic</w:t>
      </w:r>
      <w:r>
        <w:t xml:space="preserve"> </w:t>
      </w:r>
      <w:r>
        <w:t xml:space="preserve">Melanoma</w:t>
      </w:r>
      <w:r>
        <w:t xml:space="preserve"> </w:t>
      </w:r>
      <w:r>
        <w:t xml:space="preserve">(CheckMate</w:t>
      </w:r>
      <w:r>
        <w:t xml:space="preserve"> </w:t>
      </w:r>
      <w:r>
        <w:t xml:space="preserve">067)</w:t>
      </w:r>
    </w:p>
    <w:p>
      <w:pPr>
        <w:pStyle w:val="Author"/>
      </w:pPr>
      <w:r>
        <w:t xml:space="preserve">N</w:t>
      </w:r>
      <w:r>
        <w:t xml:space="preserve"> </w:t>
      </w:r>
      <w:r>
        <w:t xml:space="preserve">Green,</w:t>
      </w:r>
      <w:r>
        <w:t xml:space="preserve"> </w:t>
      </w:r>
      <w:r>
        <w:t xml:space="preserve">UCL</w:t>
      </w:r>
    </w:p>
    <w:p>
      <w:pPr>
        <w:pStyle w:val="Date"/>
      </w:pPr>
      <w:r>
        <w:t xml:space="preserve">14/10/2020</w:t>
      </w:r>
    </w:p>
    <w:p>
      <w:pPr>
        <w:pStyle w:val="FirstParagraph"/>
      </w:pPr>
      <w:r>
        <w:t xml:space="preserve">[taken from Anthonio]</w:t>
      </w:r>
    </w:p>
    <w:p>
      <w:pPr>
        <w:pStyle w:val="Heading3"/>
      </w:pPr>
      <w:bookmarkStart w:id="20" w:name="methodology"/>
      <w:r>
        <w:t xml:space="preserve">Methodology</w:t>
      </w:r>
      <w:bookmarkEnd w:id="20"/>
    </w:p>
    <w:p>
      <w:pPr>
        <w:pStyle w:val="FirstParagraph"/>
      </w:pPr>
      <w:r>
        <w:t xml:space="preserve">Immuno-oncologic (IO) studies for melanoma therapies, such as</w:t>
      </w:r>
      <w:r>
        <w:t xml:space="preserve"> </w:t>
      </w:r>
      <w:r>
        <w:rPr>
          <w:i/>
        </w:rPr>
        <w:t xml:space="preserve">ipilimumab</w:t>
      </w:r>
      <w:r>
        <w:t xml:space="preserve">,</w:t>
      </w:r>
      <w:r>
        <w:t xml:space="preserve"> </w:t>
      </w:r>
      <w:r>
        <w:rPr>
          <w:i/>
        </w:rPr>
        <w:t xml:space="preserve">nivolumab</w:t>
      </w:r>
      <w:r>
        <w:t xml:space="preserve">, and the</w:t>
      </w:r>
      <w:r>
        <w:t xml:space="preserve"> </w:t>
      </w:r>
      <w:r>
        <w:rPr>
          <w:i/>
        </w:rPr>
        <w:t xml:space="preserve">nivolumab</w:t>
      </w:r>
      <w:r>
        <w:t xml:space="preserve"> </w:t>
      </w:r>
      <w:r>
        <w:t xml:space="preserve">+</w:t>
      </w:r>
      <w:r>
        <w:t xml:space="preserve"> </w:t>
      </w:r>
      <w:r>
        <w:rPr>
          <w:i/>
        </w:rPr>
        <w:t xml:space="preserve">ipilimumab</w:t>
      </w:r>
      <w:r>
        <w:t xml:space="preserve"> </w:t>
      </w:r>
      <w:r>
        <w:t xml:space="preserve">combination, have indicated that survival curves</w:t>
      </w:r>
      <w:r>
        <w:t xml:space="preserve"> </w:t>
      </w:r>
      <w:r>
        <w:t xml:space="preserve">“</w:t>
      </w:r>
      <w:r>
        <w:t xml:space="preserve">plateau</w:t>
      </w:r>
      <w:r>
        <w:t xml:space="preserve">”</w:t>
      </w:r>
      <w:r>
        <w:t xml:space="preserve"> </w:t>
      </w:r>
      <w:r>
        <w:t xml:space="preserve">(a considerable proportion of</w:t>
      </w:r>
      <w:r>
        <w:t xml:space="preserve"> </w:t>
      </w:r>
      <w:r>
        <w:t xml:space="preserve">patients are</w:t>
      </w:r>
      <w:r>
        <w:t xml:space="preserve"> </w:t>
      </w:r>
      <w:r>
        <w:t xml:space="preserve">“</w:t>
      </w:r>
      <w:r>
        <w:t xml:space="preserve">long-term survivors</w:t>
      </w:r>
      <w:r>
        <w:t xml:space="preserve">”</w:t>
      </w:r>
      <w:r>
        <w:t xml:space="preserve">). Cure models are a special type of survival analysis where this</w:t>
      </w:r>
      <w:r>
        <w:t xml:space="preserve"> </w:t>
      </w:r>
      <w:r>
        <w:t xml:space="preserve">“</w:t>
      </w:r>
      <w:r>
        <w:t xml:space="preserve">cure</w:t>
      </w:r>
      <w:r>
        <w:t xml:space="preserve"> </w:t>
      </w:r>
      <w:r>
        <w:t xml:space="preserve">fraction</w:t>
      </w:r>
      <w:r>
        <w:t xml:space="preserve">”</w:t>
      </w:r>
      <w:r>
        <w:t xml:space="preserve"> </w:t>
      </w:r>
      <w:r>
        <w:t xml:space="preserve">(the underlying proportion of responders to treatment/long-term survivors) is accounted for. Cure</w:t>
      </w:r>
      <w:r>
        <w:t xml:space="preserve"> </w:t>
      </w:r>
      <w:r>
        <w:t xml:space="preserve">models estimate the cure fraction, in addition to a parametric survival function for patients that are not</w:t>
      </w:r>
      <w:r>
        <w:t xml:space="preserve"> </w:t>
      </w:r>
      <w:r>
        <w:t xml:space="preserve">cured. The mortality risk in the cured patients is informed by a background mortality rate. The population</w:t>
      </w:r>
      <w:r>
        <w:t xml:space="preserve"> </w:t>
      </w:r>
      <w:r>
        <w:t xml:space="preserve">that is not cured is subject both to background mortality and to additional mortality from their cancer,</w:t>
      </w:r>
      <w:r>
        <w:t xml:space="preserve"> </w:t>
      </w:r>
      <w:r>
        <w:t xml:space="preserve">estimated using a parametric survival model.</w:t>
      </w:r>
    </w:p>
    <w:p>
      <w:pPr>
        <w:pStyle w:val="BodyText"/>
      </w:pPr>
      <w:r>
        <w:t xml:space="preserve">A mixture cure model (MCM) is a type of cure model where survival is modelled as a mixture of two groups</w:t>
      </w:r>
      <w:r>
        <w:t xml:space="preserve"> </w:t>
      </w:r>
      <w:r>
        <w:t xml:space="preserve">of patients: those who are cured and those who are not (and who therefore remain at risk). The survival for</w:t>
      </w:r>
      <w:r>
        <w:t xml:space="preserve"> </w:t>
      </w:r>
      <w:r>
        <w:t xml:space="preserve">a population with a cure fraction can be written as follows:</w:t>
      </w:r>
    </w:p>
    <w:p>
      <w:pPr>
        <w:pStyle w:val="BodyText"/>
      </w:pPr>
    </w:p>
    <w:p>
      <w:pPr>
        <w:pStyle w:val="BodyText"/>
      </w:pPr>
      <w:r>
        <w:t xml:space="preserve">where</w:t>
      </w:r>
      <w:r>
        <w:t xml:space="preserve"> </w:t>
      </w:r>
      <m:oMath>
        <m:r>
          <m:t>S</m:t>
        </m:r>
        <m:r>
          <m:t>(</m:t>
        </m:r>
        <m:r>
          <m:t>t</m:t>
        </m:r>
        <m:r>
          <m:t>,</m:t>
        </m:r>
        <m:r>
          <m:t>x</m:t>
        </m:r>
        <m:r>
          <m:t>)</m:t>
        </m:r>
      </m:oMath>
      <w:r>
        <w:t xml:space="preserve"> </w:t>
      </w:r>
      <w:r>
        <w:t xml:space="preserve">denotes the survival at time</w:t>
      </w:r>
      <w:r>
        <w:t xml:space="preserve"> </w:t>
      </w:r>
      <m:oMath>
        <m:r>
          <m:t>t</m:t>
        </m:r>
      </m:oMath>
      <w:r>
        <w:t xml:space="preserve">,</w:t>
      </w:r>
      <w:r>
        <w:t xml:space="preserve"> </w:t>
      </w:r>
      <m:oMath>
        <m:sSup>
          <m:e>
            <m:r>
              <m:t>S</m:t>
            </m:r>
          </m:e>
          <m:sup>
            <m:r>
              <m:t>*</m:t>
            </m:r>
          </m:sup>
        </m:sSup>
        <m:r>
          <m:t>(</m:t>
        </m:r>
        <m:r>
          <m:t>t</m:t>
        </m:r>
        <m:r>
          <m:t>,</m:t>
        </m:r>
        <m:r>
          <m:t>x</m:t>
        </m:r>
        <m:r>
          <m:t>)</m:t>
        </m:r>
      </m:oMath>
      <w:r>
        <w:t xml:space="preserve"> </w:t>
      </w:r>
      <w:r>
        <w:t xml:space="preserve">denotes the background mortality at time</w:t>
      </w:r>
      <w:r>
        <w:t xml:space="preserve"> </w:t>
      </w:r>
      <m:oMath>
        <m:r>
          <m:t>t</m:t>
        </m:r>
      </m:oMath>
      <w:r>
        <w:t xml:space="preserve"> </w:t>
      </w:r>
      <w:r>
        <w:t xml:space="preserve">conditional on</w:t>
      </w:r>
      <w:r>
        <w:t xml:space="preserve"> </w:t>
      </w:r>
      <w:r>
        <w:t xml:space="preserve">covariates</w:t>
      </w:r>
      <w:r>
        <w:t xml:space="preserve"> </w:t>
      </w:r>
      <m:oMath>
        <m:r>
          <m:t>x</m:t>
        </m:r>
      </m:oMath>
      <w:r>
        <w:t xml:space="preserve">,</w:t>
      </w:r>
      <w:r>
        <w:t xml:space="preserve"> </w:t>
      </w:r>
      <m:oMath>
        <m:r>
          <m:t>π</m:t>
        </m:r>
        <m:r>
          <m:t>(</m:t>
        </m:r>
        <m:r>
          <m:t>x</m:t>
        </m:r>
        <m:r>
          <m:t>)</m:t>
        </m:r>
      </m:oMath>
      <w:r>
        <w:t xml:space="preserve"> </w:t>
      </w:r>
      <w:r>
        <w:t xml:space="preserve">denotes the probability of being cured conditional on covariates</w:t>
      </w:r>
      <w:r>
        <w:t xml:space="preserve"> </w:t>
      </w:r>
      <m:oMath>
        <m:r>
          <m:t>x</m:t>
        </m:r>
      </m:oMath>
      <w:r>
        <w:t xml:space="preserve">, and</w:t>
      </w:r>
      <w:r>
        <w:t xml:space="preserve"> </w:t>
      </w:r>
      <m:oMath>
        <m:sSub>
          <m:e>
            <m:r>
              <m:t>S</m:t>
            </m:r>
          </m:e>
          <m:sub>
            <m:r>
              <m:t>u</m:t>
            </m:r>
          </m:sub>
        </m:sSub>
        <m:r>
          <m:t>(</m:t>
        </m:r>
        <m:r>
          <m:t>t</m:t>
        </m:r>
        <m:r>
          <m:t>,</m:t>
        </m:r>
        <m:r>
          <m:t>x</m:t>
        </m:r>
        <m:r>
          <m:t>)</m:t>
        </m:r>
      </m:oMath>
      <w:r>
        <w:t xml:space="preserve"> </w:t>
      </w:r>
      <w:r>
        <w:t xml:space="preserve">denotes</w:t>
      </w:r>
      <w:r>
        <w:t xml:space="preserve"> </w:t>
      </w:r>
      <w:r>
        <w:t xml:space="preserve">the mortality due to cancer at time t conditional on covariates</w:t>
      </w:r>
      <w:r>
        <w:t xml:space="preserve"> </w:t>
      </w:r>
      <m:oMath>
        <m:r>
          <m:t>x</m:t>
        </m:r>
      </m:oMath>
      <w:r>
        <w:t xml:space="preserve">.</w:t>
      </w:r>
      <w:r>
        <w:t xml:space="preserve"> </w:t>
      </w:r>
      <w:r>
        <w:t xml:space="preserve">We use World Health Organization (WHO) life tables by country (2018) to inform the background mortality</w:t>
      </w:r>
      <w:r>
        <w:t xml:space="preserve"> </w:t>
      </w:r>
      <w:r>
        <w:t xml:space="preserve">rate (baseline hazard) inputed to the cure model. Such baseline hazard is the expected mortality rate for</w:t>
      </w:r>
      <w:r>
        <w:t xml:space="preserve"> </w:t>
      </w:r>
      <w:r>
        <w:t xml:space="preserve">each patient at the age at which he/she experiences the event. The mortality data are age- and gender adjusted,</w:t>
      </w:r>
      <w:r>
        <w:t xml:space="preserve"> </w:t>
      </w:r>
      <w:r>
        <w:t xml:space="preserve">thus providing a granular account of the different patient profiles in the trial. Note that WHO</w:t>
      </w:r>
      <w:r>
        <w:t xml:space="preserve"> </w:t>
      </w:r>
      <w:r>
        <w:t xml:space="preserve">reports conditional probabilities of death in 5-year intervals until age 85. A constant annual mortality rate is</w:t>
      </w:r>
      <w:r>
        <w:t xml:space="preserve"> </w:t>
      </w:r>
      <w:r>
        <w:t xml:space="preserve">reported for individuals over 85. In addition, we make the assumption that the maximum age that a patient</w:t>
      </w:r>
      <w:r>
        <w:t xml:space="preserve"> </w:t>
      </w:r>
      <w:r>
        <w:t xml:space="preserve">can live up to is 100 years.</w:t>
      </w:r>
    </w:p>
    <w:p>
      <w:pPr>
        <w:pStyle w:val="BodyText"/>
      </w:pPr>
      <w:r>
        <w:t xml:space="preserve">To model the disease-specific mortality (the uncured fraction), all standard parametric distributions are tested:</w:t>
      </w:r>
    </w:p>
    <w:p>
      <w:pPr>
        <w:numPr>
          <w:ilvl w:val="0"/>
          <w:numId w:val="1001"/>
        </w:numPr>
        <w:pStyle w:val="Compact"/>
      </w:pPr>
      <w:r>
        <w:t xml:space="preserve">exponential</w:t>
      </w:r>
    </w:p>
    <w:p>
      <w:pPr>
        <w:numPr>
          <w:ilvl w:val="0"/>
          <w:numId w:val="1001"/>
        </w:numPr>
        <w:pStyle w:val="Compact"/>
      </w:pPr>
      <w:r>
        <w:t xml:space="preserve">Weibull</w:t>
      </w:r>
    </w:p>
    <w:p>
      <w:pPr>
        <w:numPr>
          <w:ilvl w:val="0"/>
          <w:numId w:val="1001"/>
        </w:numPr>
        <w:pStyle w:val="Compact"/>
      </w:pPr>
      <w:r>
        <w:t xml:space="preserve">Gompertz</w:t>
      </w:r>
    </w:p>
    <w:p>
      <w:pPr>
        <w:numPr>
          <w:ilvl w:val="0"/>
          <w:numId w:val="1001"/>
        </w:numPr>
        <w:pStyle w:val="Compact"/>
      </w:pPr>
      <w:r>
        <w:t xml:space="preserve">log-normal</w:t>
      </w:r>
    </w:p>
    <w:p>
      <w:pPr>
        <w:numPr>
          <w:ilvl w:val="0"/>
          <w:numId w:val="1001"/>
        </w:numPr>
        <w:pStyle w:val="Compact"/>
      </w:pPr>
      <w:r>
        <w:t xml:space="preserve">log-logistic</w:t>
      </w:r>
    </w:p>
    <w:p>
      <w:pPr>
        <w:numPr>
          <w:ilvl w:val="0"/>
          <w:numId w:val="1001"/>
        </w:numPr>
        <w:pStyle w:val="Compact"/>
      </w:pPr>
      <w:r>
        <w:t xml:space="preserve">generalised gamma.</w:t>
      </w:r>
    </w:p>
    <w:p>
      <w:pPr>
        <w:pStyle w:val="FirstParagraph"/>
      </w:pPr>
      <w:r>
        <w:t xml:space="preserve">Parameters for the models, including the cure rate parameter, are derived via Bayesian inference.</w:t>
      </w:r>
    </w:p>
    <w:p>
      <w:pPr>
        <w:pStyle w:val="Heading3"/>
      </w:pPr>
      <w:bookmarkStart w:id="21" w:name="model-description"/>
      <w:r>
        <w:t xml:space="preserve">Model description</w:t>
      </w:r>
      <w:bookmarkEnd w:id="21"/>
    </w:p>
    <w:p>
      <w:pPr>
        <w:pStyle w:val="FirstParagraph"/>
      </w:pPr>
      <w:r>
        <w:t xml:space="preserve">Let</w:t>
      </w:r>
      <w:r>
        <w:t xml:space="preserve"> </w:t>
      </w:r>
      <m:oMath>
        <m:sSub>
          <m:e>
            <m:r>
              <m:t>T</m:t>
            </m:r>
          </m:e>
          <m:sub>
            <m:r>
              <m:t>i</m:t>
            </m:r>
          </m:sub>
        </m:sSub>
      </m:oMath>
      <w:r>
        <w:t xml:space="preserve"> </w:t>
      </w:r>
      <w:r>
        <w:t xml:space="preserve">be the non-negative random variable denoting the survival time of patient</w:t>
      </w:r>
      <w:r>
        <w:t xml:space="preserve"> </w:t>
      </w:r>
      <m:oMath>
        <m:r>
          <m:t>i</m:t>
        </m:r>
      </m:oMath>
      <w:r>
        <w:t xml:space="preserve"> </w:t>
      </w:r>
      <w:r>
        <w:t xml:space="preserve">with covariate vector</w:t>
      </w:r>
      <w:r>
        <w:t xml:space="preserve"> </w:t>
      </w:r>
      <m:oMath>
        <m:sSub>
          <m:e>
            <m:r>
              <m:rPr>
                <m:sty m:val="b"/>
              </m:rPr>
              <m:t>x</m:t>
            </m:r>
          </m:e>
          <m:sub>
            <m:r>
              <m:t>i</m:t>
            </m:r>
          </m:sub>
        </m:sSub>
      </m:oMath>
      <w:r>
        <w:t xml:space="preserve">.</w:t>
      </w:r>
    </w:p>
    <w:p>
      <w:pPr>
        <w:pStyle w:val="BodyText"/>
      </w:pPr>
      <w:r>
        <w:t xml:space="preserve">We can assume that the cure fraction is the same for the whole population i.e. </w:t>
      </w:r>
      <m:oMath>
        <m:r>
          <m:t>π</m:t>
        </m:r>
      </m:oMath>
      <w:r>
        <w:t xml:space="preserve"> </w:t>
      </w:r>
      <w:r>
        <w:t xml:space="preserve">is fixed.</w:t>
      </w:r>
      <w:r>
        <w:t xml:space="preserve"> </w:t>
      </w:r>
      <w:r>
        <w:t xml:space="preserve">Further, we can assume the</w:t>
      </w:r>
      <w:r>
        <w:t xml:space="preserve"> </w:t>
      </w:r>
      <m:oMath>
        <m:r>
          <m:t>π</m:t>
        </m:r>
      </m:oMath>
      <w:r>
        <w:t xml:space="preserve"> </w:t>
      </w:r>
      <w:r>
        <w:t xml:space="preserve">models the relationship between</w:t>
      </w:r>
      <w:r>
        <w:t xml:space="preserve"> </w:t>
      </w:r>
      <m:oMath>
        <m:sSub>
          <m:e>
            <m:r>
              <m:rPr>
                <m:sty m:val="b"/>
              </m:rPr>
              <m:t>x</m:t>
            </m:r>
          </m:e>
          <m:sub>
            <m:r>
              <m:t>i</m:t>
            </m:r>
          </m:sub>
        </m:sSub>
      </m:oMath>
      <w:r>
        <w:t xml:space="preserve"> </w:t>
      </w:r>
      <w:r>
        <w:t xml:space="preserve">and the probability of being cured. E.g. using a logistic-linear model</w:t>
      </w:r>
    </w:p>
    <w:p>
      <w:pPr>
        <w:pStyle w:val="BodyText"/>
      </w:pPr>
      <m:oMathPara>
        <m:oMathParaPr>
          <m:jc m:val="center"/>
        </m:oMathParaPr>
        <m:oMath>
          <m:r>
            <m:t>π</m:t>
          </m:r>
          <m:r>
            <m:t>(</m:t>
          </m:r>
          <m:sSub>
            <m:e>
              <m:r>
                <m:rPr>
                  <m:sty m:val="b"/>
                </m:rPr>
                <m:t>x</m:t>
              </m:r>
            </m:e>
            <m:sub>
              <m:r>
                <m:t>i</m:t>
              </m:r>
            </m:sub>
          </m:sSub>
          <m:r>
            <m:t>|</m:t>
          </m:r>
          <m:r>
            <m:rPr>
              <m:sty m:val="b"/>
            </m:rPr>
            <m:t>β</m:t>
          </m:r>
          <m:r>
            <m:t>)</m:t>
          </m:r>
          <m:r>
            <m:t>=</m:t>
          </m:r>
          <m:r>
            <m:t>1</m:t>
          </m:r>
          <m:r>
            <m:t>/</m:t>
          </m:r>
          <m:r>
            <m:t>[</m:t>
          </m:r>
          <m:r>
            <m:t>1</m:t>
          </m:r>
          <m:r>
            <m:t>+</m:t>
          </m:r>
          <m:r>
            <m:rPr>
              <m:nor/>
              <m:sty m:val="p"/>
            </m:rPr>
            <m:t>exp</m:t>
          </m:r>
          <m:r>
            <m:t>(</m:t>
          </m:r>
          <m:r>
            <m:t>−</m:t>
          </m:r>
          <m:sSubSup>
            <m:e>
              <m:r>
                <m:rPr>
                  <m:sty m:val="b"/>
                </m:rPr>
                <m:t>x</m:t>
              </m:r>
            </m:e>
            <m:sub>
              <m:r>
                <m:t>i</m:t>
              </m:r>
            </m:sub>
            <m:sup>
              <m:r>
                <m:t>T</m:t>
              </m:r>
            </m:sup>
          </m:sSubSup>
          <m:r>
            <m:rPr>
              <m:sty m:val="b"/>
            </m:rPr>
            <m:t>β</m:t>
          </m:r>
          <m:r>
            <m:t>)</m:t>
          </m:r>
          <m:r>
            <m:t>]</m:t>
          </m:r>
          <m:r>
            <m:t>.</m:t>
          </m:r>
        </m:oMath>
      </m:oMathPara>
    </w:p>
    <w:p>
      <w:pPr>
        <w:pStyle w:val="FirstParagraph"/>
      </w:pPr>
      <w:r>
        <w:t xml:space="preserve">The likelihood of the standard survival is</w:t>
      </w:r>
    </w:p>
    <w:p>
      <w:pPr>
        <w:pStyle w:val="BodyText"/>
      </w:pPr>
      <m:oMathPara>
        <m:oMathParaPr>
          <m:jc m:val="center"/>
        </m:oMathParaPr>
        <m:oMath>
          <m:r>
            <m:t>L</m:t>
          </m:r>
          <m:r>
            <m:t>=</m:t>
          </m:r>
          <m:nary>
            <m:naryPr>
              <m:chr m:val="∏"/>
              <m:limLoc m:val="undOvr"/>
              <m:subHide m:val="0"/>
              <m:supHide m:val="1"/>
            </m:naryPr>
            <m:sub>
              <m:r>
                <m:t>i</m:t>
              </m:r>
            </m:sub>
            <m:sup>
              <m:r>
                <m:t>​</m:t>
              </m:r>
            </m:sup>
            <m:e>
              <m:r>
                <m:t>S</m:t>
              </m:r>
            </m:e>
          </m:nary>
          <m:r>
            <m:t>(</m:t>
          </m:r>
          <m:sSub>
            <m:e>
              <m:r>
                <m:t>t</m:t>
              </m:r>
            </m:e>
            <m:sub>
              <m:r>
                <m:t>i</m:t>
              </m:r>
            </m:sub>
          </m:sSub>
          <m:r>
            <m:t>|</m:t>
          </m:r>
          <m:sSub>
            <m:e>
              <m:r>
                <m:rPr>
                  <m:sty m:val="b"/>
                </m:rPr>
                <m:t>x</m:t>
              </m:r>
            </m:e>
            <m:sub>
              <m:r>
                <m:t>i</m:t>
              </m:r>
            </m:sub>
          </m:sSub>
          <m:r>
            <m:t>)</m:t>
          </m:r>
          <m:r>
            <m:t>h</m:t>
          </m:r>
          <m:r>
            <m:t>(</m:t>
          </m:r>
          <m:sSub>
            <m:e>
              <m:r>
                <m:t>t</m:t>
              </m:r>
            </m:e>
            <m:sub>
              <m:r>
                <m:t>i</m:t>
              </m:r>
            </m:sub>
          </m:sSub>
          <m:r>
            <m:t>|</m:t>
          </m:r>
          <m:sSub>
            <m:e>
              <m:r>
                <m:rPr>
                  <m:sty m:val="b"/>
                </m:rPr>
                <m:t>x</m:t>
              </m:r>
            </m:e>
            <m:sub>
              <m:r>
                <m:t>i</m:t>
              </m:r>
            </m:sub>
          </m:sSub>
          <m:sSup>
            <m:e>
              <m:r>
                <m:t>)</m:t>
              </m:r>
            </m:e>
            <m:sup>
              <m:sSub>
                <m:e>
                  <m:r>
                    <m:t>δ</m:t>
                  </m:r>
                </m:e>
                <m:sub>
                  <m:r>
                    <m:t>i</m:t>
                  </m:r>
                </m:sub>
              </m:sSub>
            </m:sup>
          </m:sSup>
        </m:oMath>
      </m:oMathPara>
    </w:p>
    <w:p>
      <w:pPr>
        <w:pStyle w:val="FirstParagraph"/>
      </w:pPr>
      <w:r>
        <w:t xml:space="preserve">Log-likelihood</w:t>
      </w:r>
    </w:p>
    <w:p>
      <w:pPr>
        <w:pStyle w:val="BodyText"/>
      </w:pPr>
      <m:oMathPara>
        <m:oMathParaPr>
          <m:jc m:val="center"/>
        </m:oMathParaPr>
        <m:oMath>
          <m:r>
            <m:rPr>
              <m:sty m:val="p"/>
              <m:scr m:val="script"/>
            </m:rPr>
            <m:t>l</m:t>
          </m:r>
          <m:r>
            <m:t>=</m:t>
          </m:r>
          <m:nary>
            <m:naryPr>
              <m:chr m:val="∑"/>
              <m:limLoc m:val="undOvr"/>
              <m:subHide m:val="0"/>
              <m:supHide m:val="1"/>
            </m:naryPr>
            <m:sub>
              <m:r>
                <m:t>i</m:t>
              </m:r>
            </m:sub>
            <m:sup>
              <m:r>
                <m:t>​</m:t>
              </m:r>
            </m:sup>
            <m:e>
              <m:r>
                <m:rPr>
                  <m:nor/>
                  <m:sty m:val="p"/>
                </m:rPr>
                <m:t>log</m:t>
              </m:r>
            </m:e>
          </m:nary>
          <m:r>
            <m:t>(</m:t>
          </m:r>
          <m:r>
            <m:t>S</m:t>
          </m:r>
          <m:r>
            <m:t>(</m:t>
          </m:r>
          <m:sSub>
            <m:e>
              <m:r>
                <m:t>t</m:t>
              </m:r>
            </m:e>
            <m:sub>
              <m:r>
                <m:t>i</m:t>
              </m:r>
            </m:sub>
          </m:sSub>
          <m:r>
            <m:t>|</m:t>
          </m:r>
          <m:sSub>
            <m:e>
              <m:r>
                <m:rPr>
                  <m:sty m:val="b"/>
                </m:rPr>
                <m:t>x</m:t>
              </m:r>
            </m:e>
            <m:sub>
              <m:r>
                <m:t>i</m:t>
              </m:r>
            </m:sub>
          </m:sSub>
          <m:r>
            <m:t>)</m:t>
          </m:r>
          <m:r>
            <m:t>)</m:t>
          </m:r>
          <m:r>
            <m:t>+</m:t>
          </m:r>
          <m:sSub>
            <m:e>
              <m:r>
                <m:t>δ</m:t>
              </m:r>
            </m:e>
            <m:sub>
              <m:r>
                <m:t>i</m:t>
              </m:r>
            </m:sub>
          </m:sSub>
          <m:r>
            <m:rPr>
              <m:nor/>
              <m:sty m:val="p"/>
            </m:rPr>
            <m:t>log</m:t>
          </m:r>
          <m:r>
            <m:t>(</m:t>
          </m:r>
          <m:r>
            <m:t>h</m:t>
          </m:r>
          <m:r>
            <m:t>(</m:t>
          </m:r>
          <m:sSub>
            <m:e>
              <m:r>
                <m:t>t</m:t>
              </m:r>
            </m:e>
            <m:sub>
              <m:r>
                <m:t>i</m:t>
              </m:r>
            </m:sub>
          </m:sSub>
          <m:r>
            <m:t>|</m:t>
          </m:r>
          <m:sSub>
            <m:e>
              <m:r>
                <m:rPr>
                  <m:sty m:val="b"/>
                </m:rPr>
                <m:t>x</m:t>
              </m:r>
            </m:e>
            <m:sub>
              <m:r>
                <m:t>i</m:t>
              </m:r>
            </m:sub>
          </m:sSub>
          <m:r>
            <m:t>)</m:t>
          </m:r>
          <m:r>
            <m:t>)</m:t>
          </m:r>
        </m:oMath>
      </m:oMathPara>
    </w:p>
    <w:p>
      <w:pPr>
        <w:pStyle w:val="FirstParagraph"/>
      </w:pPr>
      <w:r>
        <w:t xml:space="preserve">Using this with the mixture cure equation gives</w:t>
      </w:r>
    </w:p>
    <w:p>
      <w:pPr>
        <w:pStyle w:val="BodyText"/>
      </w:pPr>
      <m:oMathPara>
        <m:oMathParaPr>
          <m:jc m:val="center"/>
        </m:oMathParaPr>
        <m:oMath>
          <m:r>
            <m:rPr>
              <m:sty m:val="p"/>
              <m:scr m:val="script"/>
            </m:rPr>
            <m:t>l</m:t>
          </m:r>
          <m:r>
            <m:t>(</m:t>
          </m:r>
          <m:r>
            <m:t>π</m:t>
          </m:r>
          <m:r>
            <m:t>|</m:t>
          </m:r>
          <m:r>
            <m:rPr>
              <m:sty m:val="b"/>
            </m:rPr>
            <m:t>δ</m:t>
          </m:r>
          <m:r>
            <m:t>,</m:t>
          </m:r>
          <m:r>
            <m:rPr>
              <m:sty m:val="b"/>
            </m:rPr>
            <m:t>x</m:t>
          </m:r>
          <m:r>
            <m:t>)</m:t>
          </m:r>
          <m:r>
            <m:t>=</m:t>
          </m:r>
          <m:nary>
            <m:naryPr>
              <m:chr m:val="∑"/>
              <m:limLoc m:val="undOvr"/>
              <m:subHide m:val="0"/>
              <m:supHide m:val="1"/>
            </m:naryPr>
            <m:sub>
              <m:r>
                <m:t>i</m:t>
              </m:r>
            </m:sub>
            <m:sup>
              <m:r>
                <m:t>​</m:t>
              </m:r>
            </m:sup>
            <m:e>
              <m:r>
                <m:rPr>
                  <m:nor/>
                  <m:sty m:val="p"/>
                </m:rPr>
                <m:t>log</m:t>
              </m:r>
            </m:e>
          </m:nary>
          <m:r>
            <m:t>(</m:t>
          </m:r>
          <m:sSup>
            <m:e>
              <m:r>
                <m:t>S</m:t>
              </m:r>
            </m:e>
            <m:sup>
              <m:r>
                <m:t>*</m:t>
              </m:r>
            </m:sup>
          </m:sSup>
          <m:r>
            <m:t>(</m:t>
          </m:r>
          <m:sSub>
            <m:e>
              <m:r>
                <m:t>t</m:t>
              </m:r>
            </m:e>
            <m:sub>
              <m:r>
                <m:t>i</m:t>
              </m:r>
            </m:sub>
          </m:sSub>
          <m:r>
            <m:t>|</m:t>
          </m:r>
          <m:sSub>
            <m:e>
              <m:r>
                <m:rPr>
                  <m:sty m:val="b"/>
                </m:rPr>
                <m:t>x</m:t>
              </m:r>
            </m:e>
            <m:sub>
              <m:r>
                <m:t>i</m:t>
              </m:r>
            </m:sub>
          </m:sSub>
          <m:r>
            <m:t>)</m:t>
          </m:r>
          <m:sSup>
            <m:e>
              <m:r>
                <m:t>h</m:t>
              </m:r>
            </m:e>
            <m:sup>
              <m:r>
                <m:t>*</m:t>
              </m:r>
            </m:sup>
          </m:sSup>
          <m:r>
            <m:t>(</m:t>
          </m:r>
          <m:sSub>
            <m:e>
              <m:r>
                <m:t>t</m:t>
              </m:r>
            </m:e>
            <m:sub>
              <m:r>
                <m:t>i</m:t>
              </m:r>
            </m:sub>
          </m:sSub>
          <m:r>
            <m:t>|</m:t>
          </m:r>
          <m:sSub>
            <m:e>
              <m:r>
                <m:rPr>
                  <m:sty m:val="b"/>
                </m:rPr>
                <m:t>x</m:t>
              </m:r>
            </m:e>
            <m:sub>
              <m:r>
                <m:t>i</m:t>
              </m:r>
            </m:sub>
          </m:sSub>
          <m:sSup>
            <m:e>
              <m:r>
                <m:t>)</m:t>
              </m:r>
            </m:e>
            <m:sup>
              <m:sSub>
                <m:e>
                  <m:r>
                    <m:t>δ</m:t>
                  </m:r>
                </m:e>
                <m:sub>
                  <m:r>
                    <m:t>i</m:t>
                  </m:r>
                </m:sub>
              </m:sSub>
            </m:sup>
          </m:sSup>
          <m:r>
            <m:t>[</m:t>
          </m:r>
          <m:r>
            <m:t>π</m:t>
          </m:r>
          <m:r>
            <m:t>(</m:t>
          </m:r>
          <m:r>
            <m:t>x</m:t>
          </m:r>
          <m:r>
            <m:t>)</m:t>
          </m:r>
          <m:r>
            <m:t>+</m:t>
          </m:r>
          <m:r>
            <m:t>(</m:t>
          </m:r>
          <m:r>
            <m:t>1</m:t>
          </m:r>
          <m:r>
            <m:t>−</m:t>
          </m:r>
          <m:r>
            <m:t>π</m:t>
          </m:r>
          <m:r>
            <m:t>(</m:t>
          </m:r>
          <m:r>
            <m:t>x</m:t>
          </m:r>
          <m:r>
            <m:t>)</m:t>
          </m:r>
          <m:r>
            <m:t>)</m:t>
          </m:r>
          <m:sSub>
            <m:e>
              <m:r>
                <m:t>S</m:t>
              </m:r>
            </m:e>
            <m:sub>
              <m:r>
                <m:t>u</m:t>
              </m:r>
            </m:sub>
          </m:sSub>
          <m:r>
            <m:t>(</m:t>
          </m:r>
          <m:sSub>
            <m:e>
              <m:r>
                <m:t>t</m:t>
              </m:r>
            </m:e>
            <m:sub>
              <m:r>
                <m:t>i</m:t>
              </m:r>
            </m:sub>
          </m:sSub>
          <m:r>
            <m:t>|</m:t>
          </m:r>
          <m:sSub>
            <m:e>
              <m:r>
                <m:rPr>
                  <m:sty m:val="b"/>
                </m:rPr>
                <m:t>x</m:t>
              </m:r>
            </m:e>
            <m:sub>
              <m:r>
                <m:t>i</m:t>
              </m:r>
            </m:sub>
          </m:sSub>
          <m:r>
            <m:t>)</m:t>
          </m:r>
          <m:sSub>
            <m:e>
              <m:r>
                <m:t>h</m:t>
              </m:r>
            </m:e>
            <m:sub>
              <m:r>
                <m:t>u</m:t>
              </m:r>
            </m:sub>
          </m:sSub>
          <m:r>
            <m:t>(</m:t>
          </m:r>
          <m:sSub>
            <m:e>
              <m:r>
                <m:t>t</m:t>
              </m:r>
            </m:e>
            <m:sub>
              <m:r>
                <m:t>i</m:t>
              </m:r>
            </m:sub>
          </m:sSub>
          <m:r>
            <m:t>|</m:t>
          </m:r>
          <m:sSub>
            <m:e>
              <m:r>
                <m:rPr>
                  <m:sty m:val="b"/>
                </m:rPr>
                <m:t>x</m:t>
              </m:r>
            </m:e>
            <m:sub>
              <m:r>
                <m:t>i</m:t>
              </m:r>
            </m:sub>
          </m:sSub>
          <m:sSup>
            <m:e>
              <m:r>
                <m:t>)</m:t>
              </m:r>
            </m:e>
            <m:sup>
              <m:sSub>
                <m:e>
                  <m:r>
                    <m:t>δ</m:t>
                  </m:r>
                </m:e>
                <m:sub>
                  <m:r>
                    <m:t>i</m:t>
                  </m:r>
                </m:sub>
              </m:sSub>
            </m:sup>
          </m:sSup>
          <m:r>
            <m:t>]</m:t>
          </m:r>
          <m:r>
            <m:t>)</m:t>
          </m:r>
        </m:oMath>
      </m:oMathPara>
    </w:p>
    <w:p>
      <w:pPr>
        <w:pStyle w:val="FirstParagraph"/>
      </w:pPr>
      <w:r>
        <w:t xml:space="preserve">Posterior distribution with cure fraction independent on covariates.</w:t>
      </w:r>
    </w:p>
    <w:p>
      <w:pPr>
        <w:pStyle w:val="BodyText"/>
      </w:pPr>
      <m:oMathPara>
        <m:oMathParaPr>
          <m:jc m:val="center"/>
        </m:oMathParaPr>
        <m:oMath>
          <m:r>
            <m:t>p</m:t>
          </m:r>
          <m:r>
            <m:t>(</m:t>
          </m:r>
          <m:r>
            <m:t>π</m:t>
          </m:r>
          <m:r>
            <m:t>,</m:t>
          </m:r>
          <m:sSup>
            <m:e>
              <m:r>
                <m:rPr>
                  <m:sty m:val="b"/>
                </m:rPr>
                <m:t>β</m:t>
              </m:r>
            </m:e>
            <m:sup>
              <m:r>
                <m:rPr>
                  <m:sty m:val="b"/>
                </m:rPr>
                <m:t>u</m:t>
              </m:r>
            </m:sup>
          </m:sSup>
          <m:r>
            <m:t>,</m:t>
          </m:r>
          <m:sSup>
            <m:e>
              <m:r>
                <m:rPr>
                  <m:sty m:val="b"/>
                </m:rPr>
                <m:t>β</m:t>
              </m:r>
            </m:e>
            <m:sup>
              <m:r>
                <m:rPr>
                  <m:sty m:val="b"/>
                </m:rPr>
                <m:t>*</m:t>
              </m:r>
            </m:sup>
          </m:sSup>
          <m:r>
            <m:t>|</m:t>
          </m:r>
          <m:r>
            <m:rPr>
              <m:sty m:val="b"/>
            </m:rPr>
            <m:t>δ</m:t>
          </m:r>
          <m:r>
            <m:t>,</m:t>
          </m:r>
          <m:r>
            <m:rPr>
              <m:sty m:val="b"/>
            </m:rPr>
            <m:t>x</m:t>
          </m:r>
          <m:r>
            <m:t>)</m:t>
          </m:r>
          <m:r>
            <m:t>∝</m:t>
          </m:r>
          <m:r>
            <m:t>L</m:t>
          </m:r>
          <m:r>
            <m:t>(</m:t>
          </m:r>
          <m:r>
            <m:t>π</m:t>
          </m:r>
          <m:r>
            <m:t>,</m:t>
          </m:r>
          <m:sSup>
            <m:e>
              <m:r>
                <m:rPr>
                  <m:sty m:val="b"/>
                </m:rPr>
                <m:t>β</m:t>
              </m:r>
            </m:e>
            <m:sup>
              <m:r>
                <m:rPr>
                  <m:sty m:val="b"/>
                </m:rPr>
                <m:t>u</m:t>
              </m:r>
            </m:sup>
          </m:sSup>
          <m:r>
            <m:t>,</m:t>
          </m:r>
          <m:sSup>
            <m:e>
              <m:r>
                <m:rPr>
                  <m:sty m:val="b"/>
                </m:rPr>
                <m:t>β</m:t>
              </m:r>
            </m:e>
            <m:sup>
              <m:r>
                <m:rPr>
                  <m:sty m:val="b"/>
                </m:rPr>
                <m:t>*</m:t>
              </m:r>
            </m:sup>
          </m:sSup>
          <m:r>
            <m:t>|</m:t>
          </m:r>
          <m:r>
            <m:rPr>
              <m:sty m:val="b"/>
            </m:rPr>
            <m:t>δ</m:t>
          </m:r>
          <m:r>
            <m:t>,</m:t>
          </m:r>
          <m:r>
            <m:rPr>
              <m:sty m:val="b"/>
            </m:rPr>
            <m:t>x</m:t>
          </m:r>
          <m:r>
            <m:t>)</m:t>
          </m:r>
          <m:r>
            <m:t>f</m:t>
          </m:r>
          <m:r>
            <m:t>(</m:t>
          </m:r>
          <m:r>
            <m:t>π</m:t>
          </m:r>
          <m:r>
            <m:t>)</m:t>
          </m:r>
          <m:sSub>
            <m:e>
              <m:r>
                <m:t>g</m:t>
              </m:r>
            </m:e>
            <m:sub>
              <m:r>
                <m:t>2</m:t>
              </m:r>
            </m:sub>
          </m:sSub>
          <m:r>
            <m:t>(</m:t>
          </m:r>
          <m:sSup>
            <m:e>
              <m:r>
                <m:rPr>
                  <m:sty m:val="b"/>
                </m:rPr>
                <m:t>β</m:t>
              </m:r>
            </m:e>
            <m:sup>
              <m:r>
                <m:rPr>
                  <m:sty m:val="b"/>
                </m:rPr>
                <m:t>u</m:t>
              </m:r>
            </m:sup>
          </m:sSup>
          <m:r>
            <m:t>)</m:t>
          </m:r>
          <m:sSub>
            <m:e>
              <m:r>
                <m:t>g</m:t>
              </m:r>
            </m:e>
            <m:sub>
              <m:r>
                <m:t>3</m:t>
              </m:r>
            </m:sub>
          </m:sSub>
          <m:r>
            <m:t>(</m:t>
          </m:r>
          <m:sSup>
            <m:e>
              <m:r>
                <m:rPr>
                  <m:sty m:val="b"/>
                </m:rPr>
                <m:t>β</m:t>
              </m:r>
            </m:e>
            <m:sup>
              <m:r>
                <m:rPr>
                  <m:sty m:val="b"/>
                </m:rPr>
                <m:t>*</m:t>
              </m:r>
            </m:sup>
          </m:sSup>
          <m:r>
            <m:t>)</m:t>
          </m:r>
        </m:oMath>
      </m:oMathPara>
    </w:p>
    <w:p>
      <w:pPr>
        <w:pStyle w:val="FirstParagraph"/>
      </w:pPr>
      <w:r>
        <w:t xml:space="preserve">Cure fraction dependent on covariates.</w:t>
      </w:r>
    </w:p>
    <w:p>
      <w:pPr>
        <w:pStyle w:val="BodyText"/>
      </w:pPr>
      <m:oMathPara>
        <m:oMathParaPr>
          <m:jc m:val="center"/>
        </m:oMathParaPr>
        <m:oMath>
          <m:r>
            <m:t>p</m:t>
          </m:r>
          <m:r>
            <m:t>(</m:t>
          </m:r>
          <m:r>
            <m:t>π</m:t>
          </m:r>
          <m:r>
            <m:t>,</m:t>
          </m:r>
          <m:sSup>
            <m:e>
              <m:r>
                <m:rPr>
                  <m:sty m:val="b"/>
                </m:rPr>
                <m:t>β</m:t>
              </m:r>
            </m:e>
            <m:sup>
              <m:r>
                <m:rPr>
                  <m:sty m:val="b"/>
                </m:rPr>
                <m:t>u</m:t>
              </m:r>
            </m:sup>
          </m:sSup>
          <m:r>
            <m:t>,</m:t>
          </m:r>
          <m:sSup>
            <m:e>
              <m:r>
                <m:rPr>
                  <m:sty m:val="b"/>
                </m:rPr>
                <m:t>β</m:t>
              </m:r>
            </m:e>
            <m:sup>
              <m:r>
                <m:rPr>
                  <m:sty m:val="b"/>
                </m:rPr>
                <m:t>*</m:t>
              </m:r>
            </m:sup>
          </m:sSup>
          <m:r>
            <m:t>,</m:t>
          </m:r>
          <m:sSup>
            <m:e>
              <m:r>
                <m:rPr>
                  <m:sty m:val="b"/>
                </m:rPr>
                <m:t>β</m:t>
              </m:r>
            </m:e>
            <m:sup>
              <m:r>
                <m:rPr>
                  <m:sty m:val="b"/>
                </m:rPr>
                <m:t>c</m:t>
              </m:r>
              <m:r>
                <m:rPr>
                  <m:sty m:val="b"/>
                </m:rPr>
                <m:t>f</m:t>
              </m:r>
            </m:sup>
          </m:sSup>
          <m:r>
            <m:t>|</m:t>
          </m:r>
          <m:r>
            <m:rPr>
              <m:sty m:val="b"/>
            </m:rPr>
            <m:t>δ</m:t>
          </m:r>
          <m:r>
            <m:t>,</m:t>
          </m:r>
          <m:r>
            <m:rPr>
              <m:sty m:val="b"/>
            </m:rPr>
            <m:t>x</m:t>
          </m:r>
          <m:r>
            <m:t>)</m:t>
          </m:r>
          <m:r>
            <m:t>∝</m:t>
          </m:r>
          <m:r>
            <m:t>L</m:t>
          </m:r>
          <m:r>
            <m:t>(</m:t>
          </m:r>
          <m:r>
            <m:t>π</m:t>
          </m:r>
          <m:r>
            <m:t>,</m:t>
          </m:r>
          <m:sSup>
            <m:e>
              <m:r>
                <m:rPr>
                  <m:sty m:val="b"/>
                </m:rPr>
                <m:t>β</m:t>
              </m:r>
            </m:e>
            <m:sup>
              <m:r>
                <m:rPr>
                  <m:sty m:val="b"/>
                </m:rPr>
                <m:t>u</m:t>
              </m:r>
            </m:sup>
          </m:sSup>
          <m:r>
            <m:t>,</m:t>
          </m:r>
          <m:sSup>
            <m:e>
              <m:r>
                <m:rPr>
                  <m:sty m:val="b"/>
                </m:rPr>
                <m:t>β</m:t>
              </m:r>
            </m:e>
            <m:sup>
              <m:r>
                <m:rPr>
                  <m:sty m:val="b"/>
                </m:rPr>
                <m:t>*</m:t>
              </m:r>
            </m:sup>
          </m:sSup>
          <m:r>
            <m:t>,</m:t>
          </m:r>
          <m:sSup>
            <m:e>
              <m:r>
                <m:rPr>
                  <m:sty m:val="b"/>
                </m:rPr>
                <m:t>β</m:t>
              </m:r>
            </m:e>
            <m:sup>
              <m:r>
                <m:rPr>
                  <m:sty m:val="b"/>
                </m:rPr>
                <m:t>c</m:t>
              </m:r>
              <m:r>
                <m:rPr>
                  <m:sty m:val="b"/>
                </m:rPr>
                <m:t>f</m:t>
              </m:r>
            </m:sup>
          </m:sSup>
          <m:r>
            <m:t>|</m:t>
          </m:r>
          <m:r>
            <m:rPr>
              <m:sty m:val="b"/>
            </m:rPr>
            <m:t>δ</m:t>
          </m:r>
          <m:r>
            <m:t>,</m:t>
          </m:r>
          <m:r>
            <m:rPr>
              <m:sty m:val="b"/>
            </m:rPr>
            <m:t>x</m:t>
          </m:r>
          <m:r>
            <m:t>)</m:t>
          </m:r>
          <m:sSub>
            <m:e>
              <m:r>
                <m:t>g</m:t>
              </m:r>
            </m:e>
            <m:sub>
              <m:r>
                <m:t>1</m:t>
              </m:r>
            </m:sub>
          </m:sSub>
          <m:r>
            <m:t>(</m:t>
          </m:r>
          <m:sSup>
            <m:e>
              <m:r>
                <m:rPr>
                  <m:sty m:val="b"/>
                </m:rPr>
                <m:t>β</m:t>
              </m:r>
            </m:e>
            <m:sup>
              <m:r>
                <m:rPr>
                  <m:sty m:val="b"/>
                </m:rPr>
                <m:t>c</m:t>
              </m:r>
              <m:r>
                <m:rPr>
                  <m:sty m:val="b"/>
                </m:rPr>
                <m:t>f</m:t>
              </m:r>
            </m:sup>
          </m:sSup>
          <m:r>
            <m:t>)</m:t>
          </m:r>
          <m:sSub>
            <m:e>
              <m:r>
                <m:t>g</m:t>
              </m:r>
            </m:e>
            <m:sub>
              <m:r>
                <m:t>2</m:t>
              </m:r>
            </m:sub>
          </m:sSub>
          <m:r>
            <m:t>(</m:t>
          </m:r>
          <m:sSup>
            <m:e>
              <m:r>
                <m:rPr>
                  <m:sty m:val="b"/>
                </m:rPr>
                <m:t>β</m:t>
              </m:r>
            </m:e>
            <m:sup>
              <m:r>
                <m:rPr>
                  <m:sty m:val="b"/>
                </m:rPr>
                <m:t>u</m:t>
              </m:r>
            </m:sup>
          </m:sSup>
          <m:r>
            <m:t>)</m:t>
          </m:r>
          <m:sSub>
            <m:e>
              <m:r>
                <m:t>g</m:t>
              </m:r>
            </m:e>
            <m:sub>
              <m:r>
                <m:t>3</m:t>
              </m:r>
            </m:sub>
          </m:sSub>
          <m:r>
            <m:t>(</m:t>
          </m:r>
          <m:sSup>
            <m:e>
              <m:r>
                <m:rPr>
                  <m:sty m:val="b"/>
                </m:rPr>
                <m:t>β</m:t>
              </m:r>
            </m:e>
            <m:sup>
              <m:r>
                <m:rPr>
                  <m:sty m:val="b"/>
                </m:rPr>
                <m:t>*</m:t>
              </m:r>
            </m:sup>
          </m:sSup>
          <m:r>
            <m:t>)</m:t>
          </m:r>
        </m:oMath>
      </m:oMathPara>
    </w:p>
    <w:p>
      <w:pPr>
        <w:pStyle w:val="Heading3"/>
      </w:pPr>
      <w:bookmarkStart w:id="22" w:name="exponential"/>
      <w:r>
        <w:t xml:space="preserve">Exponential</w:t>
      </w:r>
      <w:bookmarkEnd w:id="22"/>
    </w:p>
    <w:p>
      <w:pPr>
        <w:pStyle w:val="FirstParagraph"/>
      </w:pPr>
      <w:r>
        <w:t xml:space="preserve">Define</w:t>
      </w:r>
      <w:r>
        <w:t xml:space="preserve"> </w:t>
      </w:r>
      <m:oMath>
        <m:r>
          <m:t>f</m:t>
        </m:r>
        <m:r>
          <m:t>(</m:t>
        </m:r>
        <m:r>
          <m:t>t</m:t>
        </m:r>
        <m:r>
          <m:t>)</m:t>
        </m:r>
      </m:oMath>
      <w:r>
        <w:t xml:space="preserve"> </w:t>
      </w:r>
      <w:r>
        <w:t xml:space="preserve">density,</w:t>
      </w:r>
      <w:r>
        <w:t xml:space="preserve"> </w:t>
      </w:r>
      <m:oMath>
        <m:r>
          <m:t>S</m:t>
        </m:r>
        <m:r>
          <m:t>(</m:t>
        </m:r>
        <m:r>
          <m:t>t</m:t>
        </m:r>
        <m:r>
          <m:t>)</m:t>
        </m:r>
      </m:oMath>
      <w:r>
        <w:t xml:space="preserve"> </w:t>
      </w:r>
      <w:r>
        <w:t xml:space="preserve">survival and</w:t>
      </w:r>
      <w:r>
        <w:t xml:space="preserve"> </w:t>
      </w:r>
      <m:oMath>
        <m:r>
          <m:t>h</m:t>
        </m:r>
        <m:r>
          <m:t>(</m:t>
        </m:r>
        <m:r>
          <m:t>t</m:t>
        </m:r>
        <m:r>
          <m:t>)</m:t>
        </m:r>
      </m:oMath>
      <w:r>
        <w:t xml:space="preserve"> </w:t>
      </w:r>
      <w:r>
        <w:t xml:space="preserve">hazard functions.</w:t>
      </w:r>
    </w:p>
    <w:p>
      <w:pPr>
        <w:pStyle w:val="BodyText"/>
      </w:pPr>
      <m:oMathPara>
        <m:oMathParaPr>
          <m:jc m:val="center"/>
        </m:oMathParaPr>
        <m:oMath>
          <m:r>
            <m:t>f</m:t>
          </m:r>
          <m:r>
            <m:t>(</m:t>
          </m:r>
          <m:r>
            <m:t>t</m:t>
          </m:r>
          <m:r>
            <m:t>)</m:t>
          </m:r>
          <m:r>
            <m:t>=</m:t>
          </m:r>
          <m:r>
            <m:t>λ</m:t>
          </m:r>
          <m:r>
            <m:rPr>
              <m:nor/>
              <m:sty m:val="p"/>
            </m:rPr>
            <m:t>exp</m:t>
          </m:r>
          <m:r>
            <m:t>(</m:t>
          </m:r>
          <m:r>
            <m:t>−</m:t>
          </m:r>
          <m:r>
            <m:t>λ</m:t>
          </m:r>
          <m:r>
            <m:t>t</m:t>
          </m:r>
          <m:r>
            <m:t>)</m:t>
          </m:r>
          <m:r>
            <m:t>,</m:t>
          </m:r>
          <m:r>
            <m:t> </m:t>
          </m:r>
          <m:r>
            <m:t> </m:t>
          </m:r>
          <m:r>
            <m:t>S</m:t>
          </m:r>
          <m:r>
            <m:t>(</m:t>
          </m:r>
          <m:r>
            <m:t>t</m:t>
          </m:r>
          <m:r>
            <m:t>)</m:t>
          </m:r>
          <m:r>
            <m:t>=</m:t>
          </m:r>
          <m:r>
            <m:rPr>
              <m:nor/>
              <m:sty m:val="p"/>
            </m:rPr>
            <m:t>exp</m:t>
          </m:r>
          <m:r>
            <m:t>(</m:t>
          </m:r>
          <m:r>
            <m:t>−</m:t>
          </m:r>
          <m:r>
            <m:t>λ</m:t>
          </m:r>
          <m:r>
            <m:t>t</m:t>
          </m:r>
          <m:r>
            <m:t>)</m:t>
          </m:r>
          <m:r>
            <m:t>,</m:t>
          </m:r>
          <m:r>
            <m:t> </m:t>
          </m:r>
          <m:r>
            <m:t> </m:t>
          </m:r>
          <m:r>
            <m:t>h</m:t>
          </m:r>
          <m:r>
            <m:t>(</m:t>
          </m:r>
          <m:r>
            <m:t>t</m:t>
          </m:r>
          <m:r>
            <m:t>)</m:t>
          </m:r>
          <m:r>
            <m:t>=</m:t>
          </m:r>
          <m:r>
            <m:t>λ</m:t>
          </m:r>
        </m:oMath>
      </m:oMathPara>
    </w:p>
    <w:p>
      <w:pPr>
        <w:pStyle w:val="FirstParagraph"/>
      </w:pPr>
      <w:r>
        <w:t xml:space="preserve">Which gives the likelihood</w:t>
      </w:r>
    </w:p>
    <w:p>
      <w:pPr>
        <w:pStyle w:val="BodyText"/>
      </w:pPr>
      <m:oMathPara>
        <m:oMathParaPr>
          <m:jc m:val="center"/>
        </m:oMathParaPr>
        <m:oMath>
          <m:r>
            <m:rPr>
              <m:sty m:val="p"/>
              <m:scr m:val="script"/>
            </m:rPr>
            <m:t>l</m:t>
          </m:r>
          <m:r>
            <m:t>(</m:t>
          </m:r>
          <m:r>
            <m:t>π</m:t>
          </m:r>
          <m:r>
            <m:t>|</m:t>
          </m:r>
          <m:r>
            <m:rPr>
              <m:sty m:val="b"/>
            </m:rPr>
            <m:t>δ</m:t>
          </m:r>
          <m:r>
            <m:t>,</m:t>
          </m:r>
          <m:r>
            <m:rPr>
              <m:sty m:val="b"/>
            </m:rPr>
            <m:t>x</m:t>
          </m:r>
          <m:r>
            <m:t>)</m:t>
          </m:r>
          <m:r>
            <m:t>=</m:t>
          </m:r>
          <m:nary>
            <m:naryPr>
              <m:chr m:val="∑"/>
              <m:limLoc m:val="undOvr"/>
              <m:subHide m:val="0"/>
              <m:supHide m:val="1"/>
            </m:naryPr>
            <m:sub>
              <m:r>
                <m:t>i</m:t>
              </m:r>
            </m:sub>
            <m:sup>
              <m:r>
                <m:t>​</m:t>
              </m:r>
            </m:sup>
            <m:e>
              <m:r>
                <m:rPr>
                  <m:nor/>
                  <m:sty m:val="p"/>
                </m:rPr>
                <m:t>log</m:t>
              </m:r>
            </m:e>
          </m:nary>
          <m:r>
            <m:t>(</m:t>
          </m:r>
          <m:r>
            <m:rPr>
              <m:nor/>
              <m:sty m:val="p"/>
            </m:rPr>
            <m:t>exp</m:t>
          </m:r>
          <m:r>
            <m:t>(</m:t>
          </m:r>
          <m:r>
            <m:t>−</m:t>
          </m:r>
          <m:sSup>
            <m:e>
              <m:r>
                <m:t>λ</m:t>
              </m:r>
            </m:e>
            <m:sup>
              <m:r>
                <m:t>*</m:t>
              </m:r>
            </m:sup>
          </m:sSup>
          <m:r>
            <m:t>t</m:t>
          </m:r>
          <m:r>
            <m:t>)</m:t>
          </m:r>
          <m:sSup>
            <m:e>
              <m:r>
                <m:t>λ</m:t>
              </m:r>
            </m:e>
            <m:sup>
              <m:r>
                <m:t>*</m:t>
              </m:r>
              <m:r>
                <m:t>δ</m:t>
              </m:r>
            </m:sup>
          </m:sSup>
          <m:r>
            <m:t>[</m:t>
          </m:r>
          <m:r>
            <m:t>π</m:t>
          </m:r>
          <m:r>
            <m:t>(</m:t>
          </m:r>
          <m:r>
            <m:t>x</m:t>
          </m:r>
          <m:r>
            <m:t>)</m:t>
          </m:r>
          <m:r>
            <m:t>+</m:t>
          </m:r>
          <m:r>
            <m:t>(</m:t>
          </m:r>
          <m:r>
            <m:t>1</m:t>
          </m:r>
          <m:r>
            <m:t>−</m:t>
          </m:r>
          <m:r>
            <m:t>π</m:t>
          </m:r>
          <m:r>
            <m:t>(</m:t>
          </m:r>
          <m:r>
            <m:t>x</m:t>
          </m:r>
          <m:r>
            <m:t>)</m:t>
          </m:r>
          <m:r>
            <m:t>)</m:t>
          </m:r>
          <m:r>
            <m:rPr>
              <m:nor/>
              <m:sty m:val="p"/>
            </m:rPr>
            <m:t>exp</m:t>
          </m:r>
          <m:r>
            <m:t>(</m:t>
          </m:r>
          <m:r>
            <m:t>−</m:t>
          </m:r>
          <m:sSub>
            <m:e>
              <m:r>
                <m:t>λ</m:t>
              </m:r>
            </m:e>
            <m:sub>
              <m:r>
                <m:t>u</m:t>
              </m:r>
            </m:sub>
          </m:sSub>
          <m:r>
            <m:t>t</m:t>
          </m:r>
          <m:r>
            <m:t>)</m:t>
          </m:r>
          <m:sSubSup>
            <m:e>
              <m:r>
                <m:t>λ</m:t>
              </m:r>
            </m:e>
            <m:sub>
              <m:r>
                <m:t>u</m:t>
              </m:r>
            </m:sub>
            <m:sup>
              <m:r>
                <m:t>δ</m:t>
              </m:r>
            </m:sup>
          </m:sSubSup>
          <m:r>
            <m:t>]</m:t>
          </m:r>
          <m:r>
            <m:t>)</m:t>
          </m:r>
        </m:oMath>
      </m:oMathPara>
    </w:p>
    <w:p>
      <w:pPr>
        <w:pStyle w:val="Heading4"/>
      </w:pPr>
      <w:bookmarkStart w:id="23" w:name="prior-specification"/>
      <w:r>
        <w:t xml:space="preserve">Prior specification</w:t>
      </w:r>
      <w:bookmarkEnd w:id="23"/>
    </w:p>
    <w:p>
      <w:pPr>
        <w:pStyle w:val="FirstParagraph"/>
      </w:pPr>
      <w:r>
        <w:t xml:space="preserve">The marginal prior distributions will probably depend on which group of data are being modelled.</w:t>
      </w:r>
    </w:p>
    <w:p>
      <w:pPr>
        <w:numPr>
          <w:ilvl w:val="0"/>
          <w:numId w:val="1002"/>
        </w:numPr>
        <w:pStyle w:val="Compact"/>
      </w:pPr>
      <w:r>
        <w:rPr>
          <w:i/>
        </w:rPr>
        <w:t xml:space="preserve">Cure fraction</w:t>
      </w:r>
    </w:p>
    <w:p>
      <w:pPr>
        <w:pStyle w:val="FirstParagraph"/>
      </w:pPr>
      <w:r>
        <w:t xml:space="preserve">We can specify directly using a Beta(</w:t>
      </w:r>
      <m:oMath>
        <m:r>
          <m:t>a</m:t>
        </m:r>
      </m:oMath>
      <w:r>
        <w:t xml:space="preserve">,</w:t>
      </w:r>
      <w:r>
        <w:t xml:space="preserve"> </w:t>
      </w:r>
      <m:oMath>
        <m:r>
          <m:t>b</m:t>
        </m:r>
      </m:oMath>
      <w:r>
        <w:t xml:space="preserve">) prior, most uninformative at a uniform Beta(1,1).</w:t>
      </w:r>
      <w:r>
        <w:t xml:space="preserve"> </w:t>
      </w:r>
      <w:r>
        <w:t xml:space="preserve">Incorporating the covariate via a logistic link we specify priors on the linear coefficient</w:t>
      </w:r>
      <w:r>
        <w:t xml:space="preserve"> </w:t>
      </w:r>
      <m:oMath>
        <m:sSubSup>
          <m:e>
            <m:r>
              <m:t>β</m:t>
            </m:r>
          </m:e>
          <m:sub>
            <m:r>
              <m:t>0</m:t>
            </m:r>
          </m:sub>
          <m:sup>
            <m:r>
              <m:t>c</m:t>
            </m:r>
            <m:r>
              <m:t>f</m:t>
            </m:r>
          </m:sup>
        </m:sSubSup>
        <m:r>
          <m:t>,</m:t>
        </m:r>
        <m:sSubSup>
          <m:e>
            <m:r>
              <m:t>β</m:t>
            </m:r>
          </m:e>
          <m:sub>
            <m:r>
              <m:t>1</m:t>
            </m:r>
          </m:sub>
          <m:sup>
            <m:r>
              <m:t>c</m:t>
            </m:r>
            <m:r>
              <m:t>f</m:t>
            </m:r>
          </m:sup>
        </m:sSubSup>
      </m:oMath>
      <w:r>
        <w:t xml:space="preserve">.</w:t>
      </w:r>
      <w:r>
        <w:t xml:space="preserve"> </w:t>
      </w:r>
      <w:r>
        <w:t xml:space="preserve">Although not strictly recommended, we could take sensible starting values from the previous frequentist analysis results.</w:t>
      </w:r>
      <w:r>
        <w:t xml:space="preserve"> </w:t>
      </w:r>
      <w:r>
        <w:t xml:space="preserve">For example, for OS the nivo, ipi and combined mean cure fractions were 45%, 23% and 54%.</w:t>
      </w:r>
      <w:r>
        <w:t xml:space="preserve"> </w:t>
      </w:r>
      <w:r>
        <w:t xml:space="preserve">If the data are centred then this corresponds to</w:t>
      </w:r>
      <w:r>
        <w:t xml:space="preserve"> </w:t>
      </w:r>
      <m:oMath>
        <m:sSubSup>
          <m:e>
            <m:r>
              <m:t>β</m:t>
            </m:r>
          </m:e>
          <m:sub>
            <m:r>
              <m:t>0</m:t>
            </m:r>
          </m:sub>
          <m:sup>
            <m:r>
              <m:t>c</m:t>
            </m:r>
            <m:r>
              <m:t>f</m:t>
            </m:r>
          </m:sup>
        </m:sSubSup>
        <m:r>
          <m:t>=</m:t>
        </m:r>
        <m:r>
          <m:t>−</m:t>
        </m:r>
        <m:r>
          <m:t>0.2</m:t>
        </m:r>
        <m:r>
          <m:t>,</m:t>
        </m:r>
        <m:r>
          <m:t>−</m:t>
        </m:r>
        <m:r>
          <m:t>1.2</m:t>
        </m:r>
        <m:r>
          <m:t>,</m:t>
        </m:r>
        <m:r>
          <m:t>0.16</m:t>
        </m:r>
      </m:oMath>
      <w:r>
        <w:t xml:space="preserve">, respectively.</w:t>
      </w:r>
      <w:r>
        <w:t xml:space="preserve"> </w:t>
      </w:r>
      <w:r>
        <w:t xml:space="preserve">We would still need to specify how much we expect one year increase in age would change the cure fraction.</w:t>
      </w:r>
    </w:p>
    <w:p>
      <w:pPr>
        <w:numPr>
          <w:ilvl w:val="0"/>
          <w:numId w:val="1003"/>
        </w:numPr>
        <w:pStyle w:val="Compact"/>
      </w:pPr>
      <w:r>
        <w:rPr>
          <w:i/>
        </w:rPr>
        <w:t xml:space="preserve">Background survival</w:t>
      </w:r>
    </w:p>
    <w:p>
      <w:pPr>
        <w:pStyle w:val="FirstParagraph"/>
      </w:pPr>
      <w:r>
        <w:t xml:space="preserve">The default survival curves used in this analysis are from country-level WHO data. We can consider these to provide sufficiently accurate estimates given the sample size and so incorporating uncertainty is not necessary. In fact these annual point estimates are used directly in the frequentist analysis.</w:t>
      </w:r>
      <w:r>
        <w:t xml:space="preserve"> </w:t>
      </w:r>
      <w:r>
        <w:t xml:space="preserve">This is done by age matching each individual with the life table and then obtaining the mortality rate at the event time.</w:t>
      </w:r>
    </w:p>
    <w:p>
      <w:pPr>
        <w:pStyle w:val="BodyText"/>
      </w:pPr>
      <w:r>
        <w:t xml:space="preserve">However, we also want the developed model to be able to be applied to other datasets which may be smaller or noisy.</w:t>
      </w:r>
      <w:r>
        <w:t xml:space="preserve"> </w:t>
      </w:r>
      <w:r>
        <w:t xml:space="preserve">Sensible prior parameter values can be taken for the life table hazard curve. After infancy the log-hazard is approximately linear and so intercept and slope estimates are simple to obtain.</w:t>
      </w:r>
    </w:p>
    <w:p>
      <w:pPr>
        <w:numPr>
          <w:ilvl w:val="0"/>
          <w:numId w:val="1004"/>
        </w:numPr>
        <w:pStyle w:val="Compact"/>
      </w:pPr>
      <w:r>
        <w:rPr>
          <w:i/>
        </w:rPr>
        <w:t xml:space="preserve">Mortality due to cancer</w:t>
      </w:r>
    </w:p>
    <w:p>
      <w:pPr>
        <w:pStyle w:val="Heading3"/>
      </w:pPr>
      <w:bookmarkStart w:id="24" w:name="initial-results"/>
      <w:r>
        <w:t xml:space="preserve">Initial results</w:t>
      </w:r>
      <w:bookmarkEnd w:id="24"/>
    </w:p>
    <w:p>
      <w:pPr>
        <w:pStyle w:val="FirstParagraph"/>
      </w:pPr>
      <w:r>
        <w:t xml:space="preserve">We fit the exponential hazard model to the study data and produced the posterior survival curves below. The corresponding frequentist curves are also shown for comparison. We see that the curve are similar, providing some initial validation.</w:t>
      </w:r>
      <w:r>
        <w:t xml:space="preserve"> </w:t>
      </w:r>
      <w:r>
        <w:t xml:space="preserve">Note that one the fits has clearly not converged and so the plots is not meaningful. This is an indication that we need to improve how the model is set-up prior to fitting. This could be that the exponential distribution is not appropriate or that better prior specification of the parameters is needed. We ran the stan engine for over 70,000 iterations so a brute force approach of simply increasing the number of iterations may not be appropriate in this case.</w:t>
      </w:r>
    </w:p>
    <w:p>
      <w:pPr>
        <w:pStyle w:val="CaptionedFigure"/>
      </w:pPr>
      <w:r>
        <w:drawing>
          <wp:inline>
            <wp:extent cx="5334000" cy="3918553"/>
            <wp:effectExtent b="0" l="0" r="0" t="0"/>
            <wp:docPr descr="Exponential hazard posterior survival" title="" id="1" name="Picture"/>
            <a:graphic>
              <a:graphicData uri="http://schemas.openxmlformats.org/drawingml/2006/picture">
                <pic:pic>
                  <pic:nvPicPr>
                    <pic:cNvPr descr="../plots/exp_posterior_S_all.png" id="0" name="Picture"/>
                    <pic:cNvPicPr>
                      <a:picLocks noChangeArrowheads="1" noChangeAspect="1"/>
                    </pic:cNvPicPr>
                  </pic:nvPicPr>
                  <pic:blipFill>
                    <a:blip r:embed="rId25"/>
                    <a:stretch>
                      <a:fillRect/>
                    </a:stretch>
                  </pic:blipFill>
                  <pic:spPr bwMode="auto">
                    <a:xfrm>
                      <a:off x="0" y="0"/>
                      <a:ext cx="5334000" cy="3918553"/>
                    </a:xfrm>
                    <a:prstGeom prst="rect">
                      <a:avLst/>
                    </a:prstGeom>
                    <a:noFill/>
                    <a:ln w="9525">
                      <a:noFill/>
                      <a:headEnd/>
                      <a:tailEnd/>
                    </a:ln>
                  </pic:spPr>
                </pic:pic>
              </a:graphicData>
            </a:graphic>
          </wp:inline>
        </w:drawing>
      </w:r>
    </w:p>
    <w:p>
      <w:pPr>
        <w:pStyle w:val="ImageCaption"/>
      </w:pPr>
      <w:r>
        <w:t xml:space="preserve">Exponential hazard posterior survival</w:t>
      </w:r>
    </w:p>
    <w:p>
      <w:pPr>
        <w:pStyle w:val="CaptionedFigure"/>
      </w:pPr>
      <w:r>
        <w:drawing>
          <wp:inline>
            <wp:extent cx="5334000" cy="3111500"/>
            <wp:effectExtent b="0" l="0" r="0" t="0"/>
            <wp:docPr descr="Frequentist approach" title="" id="1" name="Picture"/>
            <a:graphic>
              <a:graphicData uri="http://schemas.openxmlformats.org/drawingml/2006/picture">
                <pic:pic>
                  <pic:nvPicPr>
                    <pic:cNvPr descr="C:/Users/Nathan/Documents/mixture%20cure%20model%20project/from%20Antonio/BMS_ICON_cure_modeling/MCM_15012020/Figures/pfs_rates.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Frequentist approach</w:t>
      </w:r>
    </w:p>
    <w:p>
      <w:pPr>
        <w:pStyle w:val="CaptionedFigure"/>
      </w:pPr>
      <w:r>
        <w:drawing>
          <wp:inline>
            <wp:extent cx="5334000" cy="3111500"/>
            <wp:effectExtent b="0" l="0" r="0" t="0"/>
            <wp:docPr descr="Frequentist approach" title="" id="1" name="Picture"/>
            <a:graphic>
              <a:graphicData uri="http://schemas.openxmlformats.org/drawingml/2006/picture">
                <pic:pic>
                  <pic:nvPicPr>
                    <pic:cNvPr descr="C:/Users/Nathan/Documents/mixture%20cure%20model%20project/from%20Antonio/BMS_ICON_cure_modeling/MCM_15012020/Figures/os_rates.png" id="0" name="Picture"/>
                    <pic:cNvPicPr>
                      <a:picLocks noChangeArrowheads="1" noChangeAspect="1"/>
                    </pic:cNvPicPr>
                  </pic:nvPicPr>
                  <pic:blipFill>
                    <a:blip r:embed="rId27"/>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Frequentist approach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Mixture Cure Modelling in Metastatic Melanoma (CheckMate 067)</dc:title>
  <dc:creator>N Green, UCL</dc:creator>
  <cp:keywords/>
  <dcterms:created xsi:type="dcterms:W3CDTF">2020-10-19T11:17:12Z</dcterms:created>
  <dcterms:modified xsi:type="dcterms:W3CDTF">2020-10-19T11:17:12Z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14/10/2020</vt:lpwstr>
  </property>
  <property fmtid="{D5CDD505-2E9C-101B-9397-08002B2CF9AE}" pid="3" name="output">
    <vt:lpwstr/>
  </property>
</Properties>
</file>