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70E1" w14:textId="7978C146" w:rsidR="00C831CA" w:rsidRDefault="00C831CA" w:rsidP="00C831CA">
      <w:pPr>
        <w:jc w:val="center"/>
        <w:rPr>
          <w:sz w:val="24"/>
          <w:szCs w:val="24"/>
        </w:rPr>
      </w:pPr>
      <w:r>
        <w:rPr>
          <w:sz w:val="24"/>
          <w:szCs w:val="24"/>
        </w:rPr>
        <w:t>UNIVERSIDADE FEDERAL DO CEARÁ</w:t>
      </w:r>
    </w:p>
    <w:p w14:paraId="289B82E2" w14:textId="0BC6F15B" w:rsidR="00C831CA" w:rsidRDefault="00C831CA" w:rsidP="00C831CA">
      <w:pPr>
        <w:jc w:val="center"/>
        <w:rPr>
          <w:sz w:val="24"/>
          <w:szCs w:val="24"/>
        </w:rPr>
      </w:pPr>
      <w:r>
        <w:rPr>
          <w:sz w:val="24"/>
          <w:szCs w:val="24"/>
        </w:rPr>
        <w:t>CURSO DE CIÊNCIAS ATUARIAIS</w:t>
      </w:r>
    </w:p>
    <w:p w14:paraId="6A25DB97" w14:textId="755770F9" w:rsidR="00C831CA" w:rsidRDefault="00C831CA" w:rsidP="00C831CA">
      <w:pPr>
        <w:jc w:val="center"/>
        <w:rPr>
          <w:sz w:val="24"/>
          <w:szCs w:val="24"/>
        </w:rPr>
      </w:pPr>
      <w:r>
        <w:rPr>
          <w:sz w:val="24"/>
          <w:szCs w:val="24"/>
        </w:rPr>
        <w:t>DISCIPLINA GESTÃO DE RISCOS E INVESTIMENTOS 1</w:t>
      </w:r>
    </w:p>
    <w:p w14:paraId="3695FCFD" w14:textId="0B1D6C8D" w:rsidR="00C831CA" w:rsidRDefault="00C831CA" w:rsidP="00C831CA">
      <w:pPr>
        <w:jc w:val="center"/>
        <w:rPr>
          <w:sz w:val="24"/>
          <w:szCs w:val="24"/>
        </w:rPr>
      </w:pPr>
      <w:r>
        <w:rPr>
          <w:sz w:val="24"/>
          <w:szCs w:val="24"/>
        </w:rPr>
        <w:t>PROF VITOR BORGES MONTEIRO</w:t>
      </w:r>
    </w:p>
    <w:p w14:paraId="3CA54657" w14:textId="77777777" w:rsidR="00C831CA" w:rsidRDefault="00C831CA" w:rsidP="00C831CA">
      <w:pPr>
        <w:rPr>
          <w:sz w:val="24"/>
          <w:szCs w:val="24"/>
        </w:rPr>
      </w:pPr>
    </w:p>
    <w:p w14:paraId="1569FE9A" w14:textId="0288294E" w:rsidR="00C831CA" w:rsidRDefault="00C831CA" w:rsidP="00C831CA">
      <w:pPr>
        <w:rPr>
          <w:sz w:val="24"/>
          <w:szCs w:val="24"/>
        </w:rPr>
      </w:pPr>
      <w:r>
        <w:rPr>
          <w:sz w:val="24"/>
          <w:szCs w:val="24"/>
        </w:rPr>
        <w:t xml:space="preserve">VAR – </w:t>
      </w:r>
      <w:proofErr w:type="spellStart"/>
      <w:r>
        <w:rPr>
          <w:sz w:val="24"/>
          <w:szCs w:val="24"/>
        </w:rPr>
        <w:t>Value</w:t>
      </w:r>
      <w:proofErr w:type="spellEnd"/>
      <w:r>
        <w:rPr>
          <w:sz w:val="24"/>
          <w:szCs w:val="24"/>
        </w:rPr>
        <w:t xml:space="preserve"> At R</w:t>
      </w:r>
    </w:p>
    <w:p w14:paraId="1E590807" w14:textId="77777777" w:rsidR="00C831CA" w:rsidRDefault="00C831CA" w:rsidP="00C831CA">
      <w:pPr>
        <w:rPr>
          <w:sz w:val="24"/>
          <w:szCs w:val="24"/>
        </w:rPr>
      </w:pPr>
    </w:p>
    <w:p w14:paraId="5895C337" w14:textId="77777777" w:rsidR="00C831CA" w:rsidRDefault="00C831CA" w:rsidP="00C831CA">
      <w:pPr>
        <w:ind w:firstLine="708"/>
        <w:jc w:val="both"/>
        <w:rPr>
          <w:sz w:val="24"/>
          <w:szCs w:val="24"/>
        </w:rPr>
      </w:pPr>
      <w:r>
        <w:rPr>
          <w:sz w:val="24"/>
          <w:szCs w:val="24"/>
        </w:rPr>
        <w:t>O VAR tem suas raízes nos famigerados desastres financeiros do início dos anos 1990 que abalaram instituições como Condado de Orange, Barings, e tantos outros. A lição comum a esses desastres é que bilhões de dólares podem ser perdidos em decorrência de ineficientes supervisão e administração de risco financeiro. Estimulados a agir, as instituições financeiras e os reguladores se voltaram para o VAR, um método de fácil compreensão para o cálculo e o controle dos riscos de mercado.</w:t>
      </w:r>
    </w:p>
    <w:p w14:paraId="046F0A8C" w14:textId="77777777" w:rsidR="00C831CA" w:rsidRDefault="00C831CA" w:rsidP="00C831CA">
      <w:pPr>
        <w:ind w:firstLine="708"/>
        <w:jc w:val="both"/>
        <w:rPr>
          <w:sz w:val="24"/>
          <w:szCs w:val="24"/>
        </w:rPr>
      </w:pPr>
      <w:r>
        <w:rPr>
          <w:sz w:val="24"/>
          <w:szCs w:val="24"/>
        </w:rPr>
        <w:t>O que é o VAR? O VAR é um método de mensuração de risco que utiliza técnicas estatísticas, comumente usadas em outras áreas técnicas. Formalmente, o VAR mede a pior perda esperada ao longo de determinado intervalo de tempo, sob condições normais de mercado e dentro de determinado nível de confiança. Com base em fundamentos científicos, fornece aos usuários uma medida concisa do risco de mercado. Por exemplo, um banco poderá informar que o VAR diário de sua carteira é de R$ 35 milhões, ao nível de confiança de 99%, isto é, há apenas uma oportunidade em 100, sob condições normais de mercado, de ocorrência de prejuízo superior a R$ 35 milhões. Esse único valor resume a exposição do banco ao risco de mercado, assim como a probabilidade de uma oscilação adversa. Além disso, ele mede o risco utilizando a mesma unidade de moeda que o resultado do banco, ou seja, reais. Assim, acionistas e administradores podem decidir se esse nível de risco é aceitável. Caso não o seja, o processo que conduziu ao cálculo do VAR pode ser usado para a decisão de onde reduzir o risco.</w:t>
      </w:r>
    </w:p>
    <w:p w14:paraId="32F4501D" w14:textId="77777777" w:rsidR="00C831CA" w:rsidRDefault="00C831CA" w:rsidP="00C831CA">
      <w:pPr>
        <w:ind w:firstLine="708"/>
        <w:jc w:val="both"/>
        <w:rPr>
          <w:sz w:val="24"/>
          <w:szCs w:val="24"/>
        </w:rPr>
      </w:pPr>
      <w:r>
        <w:rPr>
          <w:sz w:val="24"/>
          <w:szCs w:val="24"/>
        </w:rPr>
        <w:t xml:space="preserve">O </w:t>
      </w:r>
      <w:proofErr w:type="spellStart"/>
      <w:r>
        <w:rPr>
          <w:i/>
          <w:sz w:val="24"/>
          <w:szCs w:val="24"/>
        </w:rPr>
        <w:t>VaR</w:t>
      </w:r>
      <w:proofErr w:type="spellEnd"/>
      <w:r>
        <w:rPr>
          <w:sz w:val="24"/>
          <w:szCs w:val="24"/>
        </w:rPr>
        <w:t xml:space="preserve"> sintetiza a perda máxima esperada, medida em valores monetários, dentro de determinado intervalo de tempo e dada uma probabilidade de ocorrência. Portanto, devemos sempre associar esta medida a:</w:t>
      </w:r>
    </w:p>
    <w:p w14:paraId="61B2254D" w14:textId="77777777" w:rsidR="00C831CA" w:rsidRDefault="00C831CA" w:rsidP="00C831CA">
      <w:pPr>
        <w:ind w:firstLine="360"/>
        <w:jc w:val="both"/>
        <w:rPr>
          <w:sz w:val="24"/>
          <w:szCs w:val="24"/>
        </w:rPr>
      </w:pPr>
    </w:p>
    <w:p w14:paraId="0A4DE0BB" w14:textId="77777777" w:rsidR="00C831CA" w:rsidRDefault="00C831CA" w:rsidP="00C831CA">
      <w:pPr>
        <w:numPr>
          <w:ilvl w:val="0"/>
          <w:numId w:val="2"/>
        </w:numPr>
        <w:suppressAutoHyphens/>
        <w:jc w:val="both"/>
        <w:rPr>
          <w:sz w:val="24"/>
          <w:szCs w:val="24"/>
        </w:rPr>
      </w:pPr>
      <w:r>
        <w:rPr>
          <w:sz w:val="24"/>
          <w:szCs w:val="24"/>
        </w:rPr>
        <w:t>uma moeda (valor monetário);</w:t>
      </w:r>
    </w:p>
    <w:p w14:paraId="68B30CAB" w14:textId="77777777" w:rsidR="00C831CA" w:rsidRDefault="00C831CA" w:rsidP="00C831CA">
      <w:pPr>
        <w:numPr>
          <w:ilvl w:val="0"/>
          <w:numId w:val="2"/>
        </w:numPr>
        <w:suppressAutoHyphens/>
        <w:jc w:val="both"/>
        <w:rPr>
          <w:sz w:val="24"/>
          <w:szCs w:val="24"/>
        </w:rPr>
      </w:pPr>
      <w:r>
        <w:rPr>
          <w:sz w:val="24"/>
          <w:szCs w:val="24"/>
        </w:rPr>
        <w:t>um intervalo de tempo (quando devemos notar esta perda); e</w:t>
      </w:r>
    </w:p>
    <w:p w14:paraId="37F9F8CD" w14:textId="77777777" w:rsidR="00C831CA" w:rsidRDefault="00C831CA" w:rsidP="00C831CA">
      <w:pPr>
        <w:numPr>
          <w:ilvl w:val="0"/>
          <w:numId w:val="2"/>
        </w:numPr>
        <w:suppressAutoHyphens/>
        <w:jc w:val="both"/>
        <w:rPr>
          <w:sz w:val="24"/>
          <w:szCs w:val="24"/>
        </w:rPr>
      </w:pPr>
      <w:r>
        <w:rPr>
          <w:sz w:val="24"/>
          <w:szCs w:val="24"/>
        </w:rPr>
        <w:t xml:space="preserve">uma probabilidade (com que </w:t>
      </w:r>
      <w:proofErr w:type="spellStart"/>
      <w:r>
        <w:rPr>
          <w:sz w:val="24"/>
          <w:szCs w:val="24"/>
        </w:rPr>
        <w:t>freqüência</w:t>
      </w:r>
      <w:proofErr w:type="spellEnd"/>
      <w:r>
        <w:rPr>
          <w:sz w:val="24"/>
          <w:szCs w:val="24"/>
        </w:rPr>
        <w:t xml:space="preserve"> esta perda será notada).</w:t>
      </w:r>
    </w:p>
    <w:p w14:paraId="0BCAB3E8" w14:textId="77777777" w:rsidR="00C831CA" w:rsidRDefault="00C831CA" w:rsidP="00C831CA">
      <w:pPr>
        <w:suppressAutoHyphens/>
        <w:ind w:left="360"/>
        <w:jc w:val="both"/>
        <w:rPr>
          <w:sz w:val="24"/>
          <w:szCs w:val="24"/>
        </w:rPr>
      </w:pPr>
    </w:p>
    <w:p w14:paraId="7A64802D" w14:textId="77777777" w:rsidR="00C831CA" w:rsidRDefault="00C831CA" w:rsidP="00C831CA">
      <w:pPr>
        <w:ind w:firstLine="708"/>
        <w:jc w:val="both"/>
        <w:rPr>
          <w:sz w:val="24"/>
          <w:szCs w:val="24"/>
        </w:rPr>
      </w:pPr>
      <w:r>
        <w:rPr>
          <w:sz w:val="24"/>
          <w:szCs w:val="24"/>
        </w:rPr>
        <w:t xml:space="preserve">O </w:t>
      </w:r>
      <w:proofErr w:type="spellStart"/>
      <w:r>
        <w:rPr>
          <w:i/>
          <w:sz w:val="24"/>
          <w:szCs w:val="24"/>
        </w:rPr>
        <w:t>VaR</w:t>
      </w:r>
      <w:proofErr w:type="spellEnd"/>
      <w:r>
        <w:rPr>
          <w:sz w:val="24"/>
          <w:szCs w:val="24"/>
        </w:rPr>
        <w:t xml:space="preserve"> de uma posição comprada em 1 milhão de reais em ações de Petrobras pode ser de R$ 60 mil para um dia com uma probabilidade de 98%, ou de R$ 45 mil para um dia com uma probabilidade de 94%. Ou até de R$ 90 mil para cinco dias com uma probabilidade de 95%. Podemos denotar esta medida de risco de várias maneiras, dependendo de nossas necessidades.</w:t>
      </w:r>
    </w:p>
    <w:p w14:paraId="7C9647B0" w14:textId="77777777" w:rsidR="00C831CA" w:rsidRDefault="00C831CA" w:rsidP="00C831CA">
      <w:pPr>
        <w:ind w:firstLine="708"/>
        <w:jc w:val="both"/>
        <w:rPr>
          <w:sz w:val="24"/>
          <w:szCs w:val="24"/>
        </w:rPr>
      </w:pPr>
      <w:r>
        <w:rPr>
          <w:sz w:val="24"/>
          <w:szCs w:val="24"/>
        </w:rPr>
        <w:t xml:space="preserve">Note que o tamanho da carteira, ou valor do ativo, é muito importante. Vamos supor que determinada carteira contenha apenas ações, e que o </w:t>
      </w:r>
      <w:proofErr w:type="spellStart"/>
      <w:r>
        <w:rPr>
          <w:i/>
          <w:sz w:val="24"/>
          <w:szCs w:val="24"/>
        </w:rPr>
        <w:t>VaR</w:t>
      </w:r>
      <w:proofErr w:type="spellEnd"/>
      <w:r>
        <w:rPr>
          <w:sz w:val="24"/>
          <w:szCs w:val="24"/>
        </w:rPr>
        <w:t xml:space="preserve"> de um dia para um intervalo de confiança de 95% foi de R$ 3.250,00. Este número é grande ou pequeno? Se essa carteira possui apenas uma ação no valor de R$ 100 mil, podemos dizer que ele é muito grande. Entretanto, se a carteira é composta por muitas ações em um montante de R$ 1 milhão, o </w:t>
      </w:r>
      <w:proofErr w:type="spellStart"/>
      <w:r>
        <w:rPr>
          <w:i/>
          <w:sz w:val="24"/>
          <w:szCs w:val="24"/>
        </w:rPr>
        <w:t>VaR</w:t>
      </w:r>
      <w:proofErr w:type="spellEnd"/>
      <w:r>
        <w:rPr>
          <w:sz w:val="24"/>
          <w:szCs w:val="24"/>
        </w:rPr>
        <w:t xml:space="preserve"> é pequeno. O risco, medido dessa forma, está diretamente ligado ao valor da carteira ou montante do ativo que possuímos.</w:t>
      </w:r>
    </w:p>
    <w:p w14:paraId="2C492931" w14:textId="77777777" w:rsidR="00C831CA" w:rsidRDefault="00C831CA" w:rsidP="00C831CA">
      <w:pPr>
        <w:ind w:firstLine="708"/>
        <w:jc w:val="both"/>
        <w:rPr>
          <w:sz w:val="24"/>
          <w:szCs w:val="24"/>
        </w:rPr>
      </w:pPr>
      <w:r>
        <w:rPr>
          <w:sz w:val="24"/>
          <w:szCs w:val="24"/>
        </w:rPr>
        <w:t xml:space="preserve">Feitas essas observações preliminares, definiremos o </w:t>
      </w:r>
      <w:proofErr w:type="spellStart"/>
      <w:r>
        <w:rPr>
          <w:i/>
          <w:sz w:val="24"/>
          <w:szCs w:val="24"/>
        </w:rPr>
        <w:t>VaR</w:t>
      </w:r>
      <w:proofErr w:type="spellEnd"/>
      <w:r>
        <w:rPr>
          <w:sz w:val="24"/>
          <w:szCs w:val="24"/>
        </w:rPr>
        <w:t xml:space="preserve"> de uma carteira de valor </w:t>
      </w:r>
      <w:proofErr w:type="spellStart"/>
      <w:r>
        <w:rPr>
          <w:i/>
          <w:sz w:val="24"/>
          <w:szCs w:val="24"/>
        </w:rPr>
        <w:t>X</w:t>
      </w:r>
      <w:r>
        <w:rPr>
          <w:i/>
          <w:sz w:val="24"/>
          <w:szCs w:val="24"/>
          <w:vertAlign w:val="subscript"/>
        </w:rPr>
        <w:t>t</w:t>
      </w:r>
      <w:proofErr w:type="spellEnd"/>
      <w:r>
        <w:rPr>
          <w:sz w:val="24"/>
          <w:szCs w:val="24"/>
        </w:rPr>
        <w:t xml:space="preserve">, no período </w:t>
      </w:r>
      <w:r>
        <w:rPr>
          <w:i/>
          <w:sz w:val="24"/>
          <w:szCs w:val="24"/>
        </w:rPr>
        <w:t>t</w:t>
      </w:r>
      <w:r>
        <w:rPr>
          <w:sz w:val="24"/>
          <w:szCs w:val="24"/>
        </w:rPr>
        <w:t>, como:</w:t>
      </w:r>
    </w:p>
    <w:p w14:paraId="0DBE1931"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8"/>
          <w:sz w:val="24"/>
          <w:szCs w:val="24"/>
        </w:rPr>
        <w:object w:dxaOrig="1860" w:dyaOrig="360" w14:anchorId="6B262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8pt" o:ole="" filled="t">
            <v:fill color2="black"/>
            <v:imagedata r:id="rId5" o:title=""/>
          </v:shape>
          <o:OLEObject Type="Embed" ProgID="Equation.3" ShapeID="_x0000_i1025" DrawAspect="Content" ObjectID="_1714339148" r:id="rId6"/>
        </w:object>
      </w:r>
      <w:r>
        <w:rPr>
          <w:rFonts w:ascii="Times New Roman" w:hAnsi="Times New Roman"/>
          <w:sz w:val="24"/>
          <w:szCs w:val="24"/>
        </w:rPr>
        <w:t>,</w:t>
      </w:r>
      <w:r>
        <w:rPr>
          <w:rFonts w:ascii="Times New Roman" w:hAnsi="Times New Roman"/>
          <w:sz w:val="24"/>
          <w:szCs w:val="24"/>
        </w:rPr>
        <w:tab/>
      </w:r>
    </w:p>
    <w:p w14:paraId="50D91EDA" w14:textId="77777777" w:rsidR="00C831CA" w:rsidRDefault="00C831CA" w:rsidP="00C831CA">
      <w:pPr>
        <w:jc w:val="both"/>
        <w:rPr>
          <w:sz w:val="24"/>
          <w:szCs w:val="24"/>
        </w:rPr>
      </w:pPr>
      <w:r>
        <w:rPr>
          <w:sz w:val="24"/>
          <w:szCs w:val="24"/>
        </w:rPr>
        <w:lastRenderedPageBreak/>
        <w:t xml:space="preserve">onde </w:t>
      </w:r>
      <w:r>
        <w:rPr>
          <w:i/>
          <w:sz w:val="24"/>
          <w:szCs w:val="24"/>
        </w:rPr>
        <w:t xml:space="preserve">α </w:t>
      </w:r>
      <w:r>
        <w:rPr>
          <w:sz w:val="24"/>
          <w:szCs w:val="24"/>
        </w:rPr>
        <w:t xml:space="preserve">é o nível de significância (ou (1 – </w:t>
      </w:r>
      <w:r>
        <w:rPr>
          <w:i/>
          <w:sz w:val="24"/>
          <w:szCs w:val="24"/>
        </w:rPr>
        <w:t>α</w:t>
      </w:r>
      <w:r>
        <w:rPr>
          <w:sz w:val="24"/>
          <w:szCs w:val="24"/>
        </w:rPr>
        <w:t>)</w:t>
      </w:r>
      <w:r>
        <w:rPr>
          <w:i/>
          <w:sz w:val="24"/>
          <w:szCs w:val="24"/>
        </w:rPr>
        <w:t xml:space="preserve"> </w:t>
      </w:r>
      <w:r>
        <w:rPr>
          <w:sz w:val="24"/>
          <w:szCs w:val="24"/>
        </w:rPr>
        <w:t xml:space="preserve">é o nível de confiança) adotado, </w:t>
      </w:r>
      <w:r>
        <w:rPr>
          <w:position w:val="-6"/>
          <w:sz w:val="24"/>
          <w:szCs w:val="24"/>
          <w:lang w:eastAsia="ar-SA"/>
        </w:rPr>
        <w:object w:dxaOrig="465" w:dyaOrig="360" w14:anchorId="32B7D150">
          <v:shape id="_x0000_i1026" type="#_x0000_t75" style="width:23.25pt;height:18pt" o:ole="" filled="t">
            <v:fill color2="black"/>
            <v:imagedata r:id="rId7" o:title=""/>
          </v:shape>
          <o:OLEObject Type="Embed" ProgID="Equation.3" ShapeID="_x0000_i1026" DrawAspect="Content" ObjectID="_1714339149" r:id="rId8"/>
        </w:object>
      </w:r>
      <w:r>
        <w:rPr>
          <w:sz w:val="24"/>
          <w:szCs w:val="24"/>
        </w:rPr>
        <w:t xml:space="preserve"> é a variação no valor da carteira de preço </w:t>
      </w:r>
      <w:proofErr w:type="spellStart"/>
      <w:r>
        <w:rPr>
          <w:i/>
          <w:sz w:val="24"/>
          <w:szCs w:val="24"/>
        </w:rPr>
        <w:t>X</w:t>
      </w:r>
      <w:r>
        <w:rPr>
          <w:i/>
          <w:sz w:val="24"/>
          <w:szCs w:val="24"/>
          <w:vertAlign w:val="subscript"/>
        </w:rPr>
        <w:t>t</w:t>
      </w:r>
      <w:proofErr w:type="spellEnd"/>
      <w:r>
        <w:rPr>
          <w:sz w:val="24"/>
          <w:szCs w:val="24"/>
        </w:rPr>
        <w:t xml:space="preserve"> e </w:t>
      </w:r>
      <w:proofErr w:type="spellStart"/>
      <w:r>
        <w:rPr>
          <w:i/>
          <w:sz w:val="24"/>
          <w:szCs w:val="24"/>
        </w:rPr>
        <w:t>VaR</w:t>
      </w:r>
      <w:proofErr w:type="spellEnd"/>
      <w:r>
        <w:rPr>
          <w:sz w:val="24"/>
          <w:szCs w:val="24"/>
        </w:rPr>
        <w:t xml:space="preserve"> é o valor em risco para o horizonte de tempo </w:t>
      </w:r>
      <w:r>
        <w:rPr>
          <w:i/>
          <w:sz w:val="24"/>
          <w:szCs w:val="24"/>
        </w:rPr>
        <w:t>t</w:t>
      </w:r>
      <w:r>
        <w:rPr>
          <w:sz w:val="24"/>
          <w:szCs w:val="24"/>
        </w:rPr>
        <w:t xml:space="preserve">. A notação </w:t>
      </w:r>
      <w:proofErr w:type="gramStart"/>
      <w:r>
        <w:rPr>
          <w:i/>
          <w:sz w:val="24"/>
          <w:szCs w:val="24"/>
        </w:rPr>
        <w:t>P</w:t>
      </w:r>
      <w:r>
        <w:rPr>
          <w:sz w:val="24"/>
          <w:szCs w:val="24"/>
        </w:rPr>
        <w:t xml:space="preserve">(  </w:t>
      </w:r>
      <w:proofErr w:type="gramEnd"/>
      <w:r>
        <w:rPr>
          <w:sz w:val="24"/>
          <w:szCs w:val="24"/>
        </w:rPr>
        <w:t xml:space="preserve">) indica a probabilidade de um evento, então </w:t>
      </w:r>
      <w:r>
        <w:rPr>
          <w:position w:val="-6"/>
          <w:sz w:val="24"/>
          <w:szCs w:val="24"/>
          <w:lang w:eastAsia="ar-SA"/>
        </w:rPr>
        <w:object w:dxaOrig="1860" w:dyaOrig="360" w14:anchorId="50E5BA9C">
          <v:shape id="_x0000_i1027" type="#_x0000_t75" style="width:93pt;height:18pt" o:ole="" filled="t">
            <v:fill color2="black"/>
            <v:imagedata r:id="rId5" o:title=""/>
          </v:shape>
          <o:OLEObject Type="Embed" ProgID="Equation.3" ShapeID="_x0000_i1027" DrawAspect="Content" ObjectID="_1714339150" r:id="rId9"/>
        </w:object>
      </w:r>
      <w:r>
        <w:rPr>
          <w:sz w:val="24"/>
          <w:szCs w:val="24"/>
        </w:rPr>
        <w:t xml:space="preserve"> significa que a probabilidade da variação da carteira é menor ou igual ao </w:t>
      </w:r>
      <w:proofErr w:type="spellStart"/>
      <w:r>
        <w:rPr>
          <w:i/>
          <w:sz w:val="24"/>
          <w:szCs w:val="24"/>
        </w:rPr>
        <w:t>VaR</w:t>
      </w:r>
      <w:proofErr w:type="spellEnd"/>
      <w:r>
        <w:rPr>
          <w:sz w:val="24"/>
          <w:szCs w:val="24"/>
        </w:rPr>
        <w:t xml:space="preserve"> é igual a </w:t>
      </w:r>
      <w:r>
        <w:rPr>
          <w:i/>
          <w:sz w:val="24"/>
          <w:szCs w:val="24"/>
        </w:rPr>
        <w:t>α</w:t>
      </w:r>
      <w:r>
        <w:rPr>
          <w:sz w:val="24"/>
          <w:szCs w:val="24"/>
        </w:rPr>
        <w:t>.</w:t>
      </w:r>
    </w:p>
    <w:p w14:paraId="348177EC" w14:textId="77777777" w:rsidR="00C831CA" w:rsidRDefault="00C831CA" w:rsidP="00C831CA">
      <w:pPr>
        <w:jc w:val="both"/>
        <w:rPr>
          <w:sz w:val="24"/>
          <w:szCs w:val="24"/>
        </w:rPr>
      </w:pPr>
    </w:p>
    <w:p w14:paraId="65E273B2" w14:textId="77777777" w:rsidR="00C831CA" w:rsidRDefault="00C831CA" w:rsidP="00C831CA">
      <w:pPr>
        <w:pStyle w:val="Ttulo1"/>
        <w:numPr>
          <w:ilvl w:val="0"/>
          <w:numId w:val="0"/>
        </w:numPr>
        <w:tabs>
          <w:tab w:val="left" w:pos="720"/>
        </w:tabs>
        <w:rPr>
          <w:rFonts w:ascii="Times New Roman" w:hAnsi="Times New Roman" w:cs="Times New Roman"/>
          <w:b w:val="0"/>
        </w:rPr>
      </w:pPr>
      <w:r>
        <w:rPr>
          <w:rFonts w:ascii="Times New Roman" w:hAnsi="Times New Roman" w:cs="Times New Roman"/>
          <w:b w:val="0"/>
        </w:rPr>
        <w:t>6.1. VAR – modelos paramétricos</w:t>
      </w:r>
    </w:p>
    <w:p w14:paraId="3B7D6123" w14:textId="77777777" w:rsidR="00C831CA" w:rsidRDefault="00C831CA" w:rsidP="00C831CA">
      <w:pPr>
        <w:rPr>
          <w:sz w:val="24"/>
          <w:szCs w:val="24"/>
        </w:rPr>
      </w:pPr>
    </w:p>
    <w:p w14:paraId="54043DA7" w14:textId="77777777" w:rsidR="00C831CA" w:rsidRDefault="00C831CA" w:rsidP="00C831CA">
      <w:pPr>
        <w:ind w:firstLine="708"/>
        <w:jc w:val="both"/>
        <w:rPr>
          <w:sz w:val="24"/>
          <w:szCs w:val="24"/>
        </w:rPr>
      </w:pPr>
      <w:r>
        <w:rPr>
          <w:sz w:val="24"/>
          <w:szCs w:val="24"/>
        </w:rPr>
        <w:t xml:space="preserve">Como podemos notar, o conceito do </w:t>
      </w:r>
      <w:proofErr w:type="spellStart"/>
      <w:r>
        <w:rPr>
          <w:i/>
          <w:sz w:val="24"/>
          <w:szCs w:val="24"/>
        </w:rPr>
        <w:t>VaR</w:t>
      </w:r>
      <w:proofErr w:type="spellEnd"/>
      <w:r>
        <w:rPr>
          <w:sz w:val="24"/>
          <w:szCs w:val="24"/>
        </w:rPr>
        <w:t xml:space="preserve"> não é difícil, não emprega nada de estranho, e seu resultado é em unidades monetárias. Entretanto, medi-lo (ou melhor, estimá-lo) é outro problema. Quanto mais complexos forem os instrumentos que compõem a carteira, mais difícil será medir seu risco. Medir o risco de uma ação é relativamente fácil; já o de sua opção de compra é um problema mais complicado.</w:t>
      </w:r>
    </w:p>
    <w:p w14:paraId="41BE0383" w14:textId="77777777" w:rsidR="00C831CA" w:rsidRDefault="00C831CA" w:rsidP="00C831CA">
      <w:pPr>
        <w:ind w:firstLine="708"/>
        <w:jc w:val="both"/>
        <w:rPr>
          <w:sz w:val="24"/>
          <w:szCs w:val="24"/>
        </w:rPr>
      </w:pPr>
      <w:r>
        <w:rPr>
          <w:sz w:val="24"/>
          <w:szCs w:val="24"/>
        </w:rPr>
        <w:t xml:space="preserve">Podemos dividir os modelos para o cálculo do </w:t>
      </w:r>
      <w:proofErr w:type="spellStart"/>
      <w:r>
        <w:rPr>
          <w:i/>
          <w:sz w:val="24"/>
          <w:szCs w:val="24"/>
        </w:rPr>
        <w:t>VaR</w:t>
      </w:r>
      <w:proofErr w:type="spellEnd"/>
      <w:r>
        <w:rPr>
          <w:sz w:val="24"/>
          <w:szCs w:val="24"/>
        </w:rPr>
        <w:t xml:space="preserve"> em dois grandes grupos: modelos paramétricos e não-paramétricos. Nessa seção estudaremos os paramétricos.</w:t>
      </w:r>
    </w:p>
    <w:p w14:paraId="31999C3F" w14:textId="77777777" w:rsidR="00C831CA" w:rsidRDefault="00C831CA" w:rsidP="00C831CA">
      <w:pPr>
        <w:ind w:firstLine="708"/>
        <w:jc w:val="both"/>
        <w:rPr>
          <w:sz w:val="24"/>
          <w:szCs w:val="24"/>
        </w:rPr>
      </w:pPr>
      <w:r>
        <w:rPr>
          <w:sz w:val="24"/>
          <w:szCs w:val="24"/>
        </w:rPr>
        <w:t xml:space="preserve">O método paramétrico consiste em atribuir uma distribuição de probabilidade conhecida aos retornos dos ativos que compõem a carteira e, a partir daí, empregando as propriedades dessa distribuição estimar o </w:t>
      </w:r>
      <w:proofErr w:type="spellStart"/>
      <w:r>
        <w:rPr>
          <w:i/>
          <w:sz w:val="24"/>
          <w:szCs w:val="24"/>
        </w:rPr>
        <w:t>VaR</w:t>
      </w:r>
      <w:r>
        <w:rPr>
          <w:sz w:val="24"/>
          <w:szCs w:val="24"/>
        </w:rPr>
        <w:t>.</w:t>
      </w:r>
      <w:proofErr w:type="spellEnd"/>
      <w:r>
        <w:rPr>
          <w:sz w:val="24"/>
          <w:szCs w:val="24"/>
        </w:rPr>
        <w:t xml:space="preserve"> Uma das distribuições mais empregadas para esse fim é a distribuição normal ou Gaussiana. Ela serve como uma excelente aproximação para uma grande classe de distribuições que têm enorme importância prática. Portanto, vamos, primeiro, fazer uma breve apresentação sobre a distribuição normal.</w:t>
      </w:r>
    </w:p>
    <w:p w14:paraId="6D0BE6B0" w14:textId="77777777" w:rsidR="00C831CA" w:rsidRDefault="00C831CA" w:rsidP="00C831CA">
      <w:pPr>
        <w:ind w:firstLine="708"/>
        <w:jc w:val="both"/>
        <w:rPr>
          <w:sz w:val="24"/>
          <w:szCs w:val="24"/>
        </w:rPr>
      </w:pPr>
      <w:r>
        <w:rPr>
          <w:sz w:val="24"/>
          <w:szCs w:val="24"/>
        </w:rPr>
        <w:t xml:space="preserve">Uma variável tem distribuição </w:t>
      </w:r>
      <w:proofErr w:type="spellStart"/>
      <w:r>
        <w:rPr>
          <w:sz w:val="24"/>
          <w:szCs w:val="24"/>
        </w:rPr>
        <w:t>normal</w:t>
      </w:r>
      <w:proofErr w:type="spellEnd"/>
      <w:r>
        <w:rPr>
          <w:sz w:val="24"/>
          <w:szCs w:val="24"/>
        </w:rPr>
        <w:t xml:space="preserve"> quando o aspecto de sua densidade de probabilidade é uma curva em forma de sino semelhante às da Figura 1. A maior parte dos dados encontra-se em torno da média. À medida que nos afastamos dela, tanto para mais como para menos, a probabilidade de ocorrência de um resultado diminui de uma forma simétrica, isto é, a distribuição é uma curva simétrica em relação a sua média. A equação dessa curva é dada por</w:t>
      </w:r>
    </w:p>
    <w:p w14:paraId="7C9DEAEA"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32"/>
          <w:sz w:val="24"/>
          <w:szCs w:val="24"/>
        </w:rPr>
        <w:object w:dxaOrig="3240" w:dyaOrig="840" w14:anchorId="1834D6A1">
          <v:shape id="_x0000_i1028" type="#_x0000_t75" style="width:162pt;height:42pt" o:ole="" filled="t">
            <v:fill color2="black"/>
            <v:imagedata r:id="rId10" o:title=""/>
          </v:shape>
          <o:OLEObject Type="Embed" ProgID="Equation.3" ShapeID="_x0000_i1028" DrawAspect="Content" ObjectID="_1714339151" r:id="rId11"/>
        </w:object>
      </w:r>
      <w:r>
        <w:rPr>
          <w:rFonts w:ascii="Times New Roman" w:hAnsi="Times New Roman"/>
          <w:sz w:val="24"/>
          <w:szCs w:val="24"/>
        </w:rPr>
        <w:t>.</w:t>
      </w:r>
      <w:r>
        <w:rPr>
          <w:rFonts w:ascii="Times New Roman" w:hAnsi="Times New Roman"/>
          <w:sz w:val="24"/>
          <w:szCs w:val="24"/>
        </w:rPr>
        <w:tab/>
      </w:r>
    </w:p>
    <w:p w14:paraId="514A124F" w14:textId="77777777" w:rsidR="00C831CA" w:rsidRDefault="00C831CA" w:rsidP="00C831CA">
      <w:pPr>
        <w:pStyle w:val="NormalBusiness"/>
        <w:spacing w:before="0"/>
        <w:rPr>
          <w:szCs w:val="24"/>
        </w:rPr>
      </w:pPr>
      <w:r>
        <w:rPr>
          <w:szCs w:val="24"/>
        </w:rPr>
        <w:t>Não se assuste com essa fórmula, pois você não precisará utilizá-la. Ela só é útil para os matemáticos em suas considerações teóricas.</w:t>
      </w:r>
    </w:p>
    <w:p w14:paraId="21AD51EB" w14:textId="77777777" w:rsidR="00C831CA" w:rsidRDefault="00C831CA" w:rsidP="00C831CA">
      <w:pPr>
        <w:rPr>
          <w:sz w:val="24"/>
          <w:szCs w:val="24"/>
        </w:rPr>
      </w:pPr>
    </w:p>
    <w:p w14:paraId="112C6975" w14:textId="32984FF9" w:rsidR="00C831CA" w:rsidRDefault="00C831CA" w:rsidP="00C831CA">
      <w:pPr>
        <w:pStyle w:val="Figura"/>
        <w:spacing w:before="0"/>
        <w:rPr>
          <w:rFonts w:ascii="Times New Roman" w:hAnsi="Times New Roman"/>
          <w:b/>
          <w:sz w:val="24"/>
          <w:szCs w:val="24"/>
        </w:rPr>
      </w:pPr>
      <w:r>
        <w:rPr>
          <w:noProof/>
        </w:rPr>
        <mc:AlternateContent>
          <mc:Choice Requires="wpg">
            <w:drawing>
              <wp:anchor distT="0" distB="0" distL="0" distR="0" simplePos="0" relativeHeight="251658240" behindDoc="0" locked="0" layoutInCell="1" allowOverlap="1" wp14:anchorId="61F0BA41" wp14:editId="607639E7">
                <wp:simplePos x="0" y="0"/>
                <wp:positionH relativeFrom="column">
                  <wp:posOffset>3200400</wp:posOffset>
                </wp:positionH>
                <wp:positionV relativeFrom="paragraph">
                  <wp:posOffset>379095</wp:posOffset>
                </wp:positionV>
                <wp:extent cx="1143000" cy="1371600"/>
                <wp:effectExtent l="0" t="0" r="0" b="0"/>
                <wp:wrapNone/>
                <wp:docPr id="9" name="Agrupar 9"/>
                <wp:cNvGraphicFramePr/>
                <a:graphic xmlns:a="http://schemas.openxmlformats.org/drawingml/2006/main">
                  <a:graphicData uri="http://schemas.microsoft.com/office/word/2010/wordprocessingGroup">
                    <wpg:wgp>
                      <wpg:cNvGrpSpPr/>
                      <wpg:grpSpPr bwMode="auto">
                        <a:xfrm>
                          <a:off x="0" y="0"/>
                          <a:ext cx="1143000" cy="1371600"/>
                          <a:chOff x="0" y="0"/>
                          <a:chExt cx="1799" cy="2159"/>
                        </a:xfrm>
                      </wpg:grpSpPr>
                      <wps:wsp>
                        <wps:cNvPr id="5" name="Text Box 3"/>
                        <wps:cNvSpPr txBox="1">
                          <a:spLocks noChangeArrowheads="1"/>
                        </wps:cNvSpPr>
                        <wps:spPr bwMode="auto">
                          <a:xfrm>
                            <a:off x="0" y="0"/>
                            <a:ext cx="53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2039AC72" w14:textId="77777777" w:rsidR="00C831CA" w:rsidRDefault="00C831CA" w:rsidP="00C831CA">
                              <w:pPr>
                                <w:rPr>
                                  <w:i/>
                                </w:rPr>
                              </w:pPr>
                              <w:r>
                                <w:rPr>
                                  <w:i/>
                                </w:rPr>
                                <w:t>X</w:t>
                              </w:r>
                            </w:p>
                          </w:txbxContent>
                        </wps:txbx>
                        <wps:bodyPr rot="0" vert="horz" wrap="square" lIns="91440" tIns="45720" rIns="91440" bIns="45720" anchor="t" anchorCtr="0">
                          <a:noAutofit/>
                        </wps:bodyPr>
                      </wps:wsp>
                      <wps:wsp>
                        <wps:cNvPr id="6" name="Text Box 4"/>
                        <wps:cNvSpPr txBox="1">
                          <a:spLocks noChangeArrowheads="1"/>
                        </wps:cNvSpPr>
                        <wps:spPr bwMode="auto">
                          <a:xfrm>
                            <a:off x="1260" y="1800"/>
                            <a:ext cx="53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68A29C7" w14:textId="77777777" w:rsidR="00C831CA" w:rsidRDefault="00C831CA" w:rsidP="00C831CA">
                              <w:pPr>
                                <w:tabs>
                                  <w:tab w:val="left" w:pos="709"/>
                                </w:tabs>
                                <w:spacing w:before="240" w:after="60" w:line="360" w:lineRule="auto"/>
                                <w:ind w:firstLine="709"/>
                                <w:jc w:val="both"/>
                              </w:pPr>
                              <w:r>
                                <w:t>Y</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F0BA41" id="Agrupar 9" o:spid="_x0000_s1026" style="position:absolute;left:0;text-align:left;margin-left:252pt;margin-top:29.85pt;width:90pt;height:108pt;z-index:251658240;mso-wrap-distance-left:0;mso-wrap-distance-right:0" coordsize="1799,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">
                <v:shapetype id="_x0000_t202" coordsize="21600,21600" o:spt="202" path="m,l,21600r21600,l21600,xe">
                  <v:stroke joinstyle="miter"/>
                  <v:path gradientshapeok="t" o:connecttype="rect"/>
                </v:shapetype>
                <v:shape id="Text Box 3" o:spid="_x0000_s1027" type="#_x0000_t202" style="position:absolute;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stroke joinstyle="round"/>
                  <v:textbox>
                    <w:txbxContent>
                      <w:p w14:paraId="2039AC72" w14:textId="77777777" w:rsidR="00C831CA" w:rsidRDefault="00C831CA" w:rsidP="00C831CA">
                        <w:pPr>
                          <w:rPr>
                            <w:i/>
                          </w:rPr>
                        </w:pPr>
                        <w:r>
                          <w:rPr>
                            <w:i/>
                          </w:rPr>
                          <w:t>X</w:t>
                        </w:r>
                      </w:p>
                    </w:txbxContent>
                  </v:textbox>
                </v:shape>
                <v:shape id="Text Box 4" o:spid="_x0000_s1028" type="#_x0000_t202" style="position:absolute;left:1260;top:1800;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stroke joinstyle="round"/>
                  <v:textbox>
                    <w:txbxContent>
                      <w:p w14:paraId="168A29C7" w14:textId="77777777" w:rsidR="00C831CA" w:rsidRDefault="00C831CA" w:rsidP="00C831CA">
                        <w:pPr>
                          <w:tabs>
                            <w:tab w:val="left" w:pos="709"/>
                          </w:tabs>
                          <w:spacing w:before="240" w:after="60" w:line="360" w:lineRule="auto"/>
                          <w:ind w:firstLine="709"/>
                          <w:jc w:val="both"/>
                        </w:pPr>
                        <w:r>
                          <w:t>Y</w:t>
                        </w:r>
                      </w:p>
                    </w:txbxContent>
                  </v:textbox>
                </v:shape>
              </v:group>
            </w:pict>
          </mc:Fallback>
        </mc:AlternateContent>
      </w:r>
      <w:r>
        <w:rPr>
          <w:rFonts w:ascii="Times New Roman" w:hAnsi="Times New Roman"/>
          <w:noProof/>
          <w:sz w:val="24"/>
          <w:szCs w:val="24"/>
          <w:lang w:eastAsia="pt-BR"/>
        </w:rPr>
        <w:drawing>
          <wp:inline distT="0" distB="0" distL="0" distR="0" wp14:anchorId="3E1A9DCE" wp14:editId="40E1998A">
            <wp:extent cx="4143375" cy="24193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3375" cy="2419350"/>
                    </a:xfrm>
                    <a:prstGeom prst="rect">
                      <a:avLst/>
                    </a:prstGeom>
                    <a:solidFill>
                      <a:srgbClr val="FFFFFF"/>
                    </a:solidFill>
                    <a:ln w="6350" cmpd="sng">
                      <a:solidFill>
                        <a:srgbClr val="000000"/>
                      </a:solidFill>
                      <a:miter lim="800000"/>
                      <a:headEnd/>
                      <a:tailEnd/>
                    </a:ln>
                    <a:effectLst/>
                  </pic:spPr>
                </pic:pic>
              </a:graphicData>
            </a:graphic>
          </wp:inline>
        </w:drawing>
      </w:r>
    </w:p>
    <w:p w14:paraId="6FD6731C" w14:textId="77777777" w:rsidR="00C831CA" w:rsidRDefault="00C831CA" w:rsidP="00C831CA">
      <w:pPr>
        <w:pStyle w:val="LegendaFigura"/>
        <w:spacing w:line="240" w:lineRule="auto"/>
        <w:rPr>
          <w:rFonts w:ascii="Times New Roman" w:hAnsi="Times New Roman"/>
          <w:i/>
          <w:sz w:val="24"/>
          <w:szCs w:val="24"/>
        </w:rPr>
      </w:pPr>
      <w:r>
        <w:rPr>
          <w:rFonts w:ascii="Times New Roman" w:hAnsi="Times New Roman"/>
          <w:b/>
          <w:sz w:val="24"/>
          <w:szCs w:val="24"/>
        </w:rPr>
        <w:t>Figura</w:t>
      </w:r>
      <w:r>
        <w:rPr>
          <w:rFonts w:ascii="Times New Roman" w:hAnsi="Times New Roman"/>
          <w:b/>
          <w:i/>
          <w:sz w:val="24"/>
          <w:szCs w:val="24"/>
        </w:rPr>
        <w:t xml:space="preserve"> 1</w:t>
      </w:r>
      <w:r>
        <w:rPr>
          <w:rFonts w:ascii="Times New Roman" w:hAnsi="Times New Roman"/>
          <w:i/>
          <w:sz w:val="24"/>
          <w:szCs w:val="24"/>
        </w:rPr>
        <w:t>– Distribuição normal – influência do desvio-padrão.</w:t>
      </w:r>
    </w:p>
    <w:p w14:paraId="110AEF90" w14:textId="77777777" w:rsidR="00C831CA" w:rsidRDefault="00C831CA" w:rsidP="00C831CA">
      <w:pPr>
        <w:ind w:firstLine="708"/>
        <w:jc w:val="both"/>
        <w:rPr>
          <w:sz w:val="24"/>
          <w:szCs w:val="24"/>
        </w:rPr>
      </w:pPr>
      <w:r>
        <w:rPr>
          <w:sz w:val="24"/>
          <w:szCs w:val="24"/>
        </w:rPr>
        <w:lastRenderedPageBreak/>
        <w:t xml:space="preserve">A distribuição normal com média zero e variância unitária, isto é </w:t>
      </w:r>
      <w:r>
        <w:rPr>
          <w:i/>
          <w:sz w:val="24"/>
          <w:szCs w:val="24"/>
        </w:rPr>
        <w:t xml:space="preserve">Z </w:t>
      </w:r>
      <w:r>
        <w:rPr>
          <w:sz w:val="24"/>
          <w:szCs w:val="24"/>
        </w:rPr>
        <w:t>=</w:t>
      </w:r>
      <w:r>
        <w:rPr>
          <w:i/>
          <w:sz w:val="24"/>
          <w:szCs w:val="24"/>
        </w:rPr>
        <w:t xml:space="preserve"> </w:t>
      </w:r>
      <w:proofErr w:type="gramStart"/>
      <w:r>
        <w:rPr>
          <w:i/>
          <w:sz w:val="24"/>
          <w:szCs w:val="24"/>
        </w:rPr>
        <w:t>N</w:t>
      </w:r>
      <w:r>
        <w:rPr>
          <w:sz w:val="24"/>
          <w:szCs w:val="24"/>
        </w:rPr>
        <w:t>(</w:t>
      </w:r>
      <w:proofErr w:type="gramEnd"/>
      <w:r>
        <w:rPr>
          <w:sz w:val="24"/>
          <w:szCs w:val="24"/>
        </w:rPr>
        <w:t xml:space="preserve">0, 1), é chamada de normal-padrão. A função de distribuição acumulada normal-padrão, isto é, a probabilidade de uma normal-padrão ser menor ou igual a </w:t>
      </w:r>
      <w:r>
        <w:rPr>
          <w:i/>
          <w:sz w:val="24"/>
          <w:szCs w:val="24"/>
        </w:rPr>
        <w:t>x,</w:t>
      </w:r>
      <w:r>
        <w:rPr>
          <w:sz w:val="24"/>
          <w:szCs w:val="24"/>
        </w:rPr>
        <w:t xml:space="preserve"> onde </w:t>
      </w:r>
      <w:r>
        <w:rPr>
          <w:i/>
          <w:sz w:val="24"/>
          <w:szCs w:val="24"/>
        </w:rPr>
        <w:t>x</w:t>
      </w:r>
      <w:r>
        <w:rPr>
          <w:sz w:val="24"/>
          <w:szCs w:val="24"/>
        </w:rPr>
        <w:t xml:space="preserve"> é um número real qualquer, será indicada por </w:t>
      </w:r>
      <w:r>
        <w:rPr>
          <w:position w:val="-4"/>
          <w:sz w:val="24"/>
          <w:szCs w:val="24"/>
          <w:lang w:eastAsia="ar-SA"/>
        </w:rPr>
        <w:object w:dxaOrig="555" w:dyaOrig="315" w14:anchorId="1E24ADF9">
          <v:shape id="_x0000_i1030" type="#_x0000_t75" style="width:27.75pt;height:15.75pt" o:ole="" filled="t">
            <v:fill color2="black"/>
            <v:imagedata r:id="rId13" o:title=""/>
          </v:shape>
          <o:OLEObject Type="Embed" ProgID="Equation.3" ShapeID="_x0000_i1030" DrawAspect="Content" ObjectID="_1714339152" r:id="rId14"/>
        </w:object>
      </w:r>
      <w:r>
        <w:rPr>
          <w:sz w:val="24"/>
          <w:szCs w:val="24"/>
        </w:rPr>
        <w:t>.</w:t>
      </w:r>
    </w:p>
    <w:p w14:paraId="6B951A7C" w14:textId="77777777" w:rsidR="00C831CA" w:rsidRDefault="00C831CA" w:rsidP="00C831CA">
      <w:pPr>
        <w:ind w:firstLine="708"/>
        <w:jc w:val="both"/>
        <w:rPr>
          <w:sz w:val="24"/>
          <w:szCs w:val="24"/>
        </w:rPr>
      </w:pPr>
      <w:r>
        <w:rPr>
          <w:sz w:val="24"/>
          <w:szCs w:val="24"/>
        </w:rPr>
        <w:t xml:space="preserve">Para determinar a probabilidade de </w:t>
      </w:r>
      <w:r>
        <w:rPr>
          <w:i/>
          <w:sz w:val="24"/>
          <w:szCs w:val="24"/>
        </w:rPr>
        <w:t>X</w:t>
      </w:r>
      <w:r>
        <w:rPr>
          <w:sz w:val="24"/>
          <w:szCs w:val="24"/>
        </w:rPr>
        <w:t xml:space="preserve"> estar, por exemplo, entre dois valores </w:t>
      </w:r>
      <w:r>
        <w:rPr>
          <w:i/>
          <w:sz w:val="24"/>
          <w:szCs w:val="24"/>
        </w:rPr>
        <w:t>a</w:t>
      </w:r>
      <w:r>
        <w:rPr>
          <w:sz w:val="24"/>
          <w:szCs w:val="24"/>
        </w:rPr>
        <w:t xml:space="preserve"> e </w:t>
      </w:r>
      <w:r>
        <w:rPr>
          <w:i/>
          <w:sz w:val="24"/>
          <w:szCs w:val="24"/>
        </w:rPr>
        <w:t>b</w:t>
      </w:r>
      <w:r>
        <w:rPr>
          <w:sz w:val="24"/>
          <w:szCs w:val="24"/>
        </w:rPr>
        <w:t xml:space="preserve">, </w:t>
      </w:r>
      <w:r>
        <w:rPr>
          <w:i/>
          <w:sz w:val="24"/>
          <w:szCs w:val="24"/>
        </w:rPr>
        <w:t xml:space="preserve">a </w:t>
      </w:r>
      <w:r>
        <w:rPr>
          <w:sz w:val="24"/>
          <w:szCs w:val="24"/>
        </w:rPr>
        <w:t xml:space="preserve">&lt; </w:t>
      </w:r>
      <w:r>
        <w:rPr>
          <w:i/>
          <w:sz w:val="24"/>
          <w:szCs w:val="24"/>
        </w:rPr>
        <w:t>b</w:t>
      </w:r>
      <w:r>
        <w:rPr>
          <w:sz w:val="24"/>
          <w:szCs w:val="24"/>
        </w:rPr>
        <w:t xml:space="preserve">, temos de integrar a fdp de </w:t>
      </w:r>
      <w:r>
        <w:rPr>
          <w:i/>
          <w:sz w:val="24"/>
          <w:szCs w:val="24"/>
        </w:rPr>
        <w:t>X</w:t>
      </w:r>
      <w:r>
        <w:rPr>
          <w:sz w:val="24"/>
          <w:szCs w:val="24"/>
        </w:rPr>
        <w:t xml:space="preserve"> de </w:t>
      </w:r>
      <w:r>
        <w:rPr>
          <w:i/>
          <w:sz w:val="24"/>
          <w:szCs w:val="24"/>
        </w:rPr>
        <w:t xml:space="preserve">a </w:t>
      </w:r>
      <w:r>
        <w:rPr>
          <w:sz w:val="24"/>
          <w:szCs w:val="24"/>
        </w:rPr>
        <w:t xml:space="preserve">até </w:t>
      </w:r>
      <w:r>
        <w:rPr>
          <w:i/>
          <w:sz w:val="24"/>
          <w:szCs w:val="24"/>
        </w:rPr>
        <w:t>b</w:t>
      </w:r>
      <w:r>
        <w:rPr>
          <w:sz w:val="24"/>
          <w:szCs w:val="24"/>
        </w:rPr>
        <w:t xml:space="preserve">, ou seja, temos de determinar a área sob a curva normal situada entre </w:t>
      </w:r>
      <w:r>
        <w:rPr>
          <w:i/>
          <w:sz w:val="24"/>
          <w:szCs w:val="24"/>
        </w:rPr>
        <w:t xml:space="preserve">a </w:t>
      </w:r>
      <w:r>
        <w:rPr>
          <w:sz w:val="24"/>
          <w:szCs w:val="24"/>
        </w:rPr>
        <w:t xml:space="preserve">e </w:t>
      </w:r>
      <w:r>
        <w:rPr>
          <w:i/>
          <w:sz w:val="24"/>
          <w:szCs w:val="24"/>
        </w:rPr>
        <w:t>b</w:t>
      </w:r>
      <w:r>
        <w:rPr>
          <w:sz w:val="24"/>
          <w:szCs w:val="24"/>
        </w:rPr>
        <w:t xml:space="preserve">. Essa integral não pode ser calculada pelos caminhos comuns, necessitando de métodos de integração numérica. Uma forma alternativa consiste em usar tabelas de distribuição normal. Essas tabelas contêm os valores das probabilidades de uma distribuição normal-padrão </w:t>
      </w:r>
      <w:r>
        <w:rPr>
          <w:i/>
          <w:sz w:val="24"/>
          <w:szCs w:val="24"/>
        </w:rPr>
        <w:t>Z</w:t>
      </w:r>
      <w:r>
        <w:rPr>
          <w:sz w:val="24"/>
          <w:szCs w:val="24"/>
        </w:rPr>
        <w:t xml:space="preserve"> ser menor ou igual que um dado </w:t>
      </w:r>
      <w:r>
        <w:rPr>
          <w:i/>
          <w:sz w:val="24"/>
          <w:szCs w:val="24"/>
        </w:rPr>
        <w:t>z</w:t>
      </w:r>
      <w:r>
        <w:rPr>
          <w:sz w:val="24"/>
          <w:szCs w:val="24"/>
        </w:rPr>
        <w:t>. A Figura 2 apresenta uma tabela de distribuição normal.</w:t>
      </w:r>
    </w:p>
    <w:tbl>
      <w:tblPr>
        <w:tblW w:w="0" w:type="auto"/>
        <w:jc w:val="center"/>
        <w:tblLayout w:type="fixed"/>
        <w:tblCellMar>
          <w:left w:w="70" w:type="dxa"/>
          <w:right w:w="70" w:type="dxa"/>
        </w:tblCellMar>
        <w:tblLook w:val="04A0" w:firstRow="1" w:lastRow="0" w:firstColumn="1" w:lastColumn="0" w:noHBand="0" w:noVBand="1"/>
      </w:tblPr>
      <w:tblGrid>
        <w:gridCol w:w="913"/>
        <w:gridCol w:w="2046"/>
      </w:tblGrid>
      <w:tr w:rsidR="00C831CA" w14:paraId="6C571079" w14:textId="77777777" w:rsidTr="00C831CA">
        <w:trPr>
          <w:jc w:val="center"/>
        </w:trPr>
        <w:tc>
          <w:tcPr>
            <w:tcW w:w="913" w:type="dxa"/>
            <w:tcBorders>
              <w:top w:val="single" w:sz="8" w:space="0" w:color="008000"/>
              <w:left w:val="nil"/>
              <w:bottom w:val="single" w:sz="4" w:space="0" w:color="008000"/>
              <w:right w:val="nil"/>
            </w:tcBorders>
            <w:hideMark/>
          </w:tcPr>
          <w:p w14:paraId="52260992" w14:textId="77777777" w:rsidR="00C831CA" w:rsidRDefault="00C831CA">
            <w:pPr>
              <w:keepNext/>
              <w:snapToGrid w:val="0"/>
              <w:spacing w:line="256" w:lineRule="auto"/>
              <w:jc w:val="center"/>
              <w:rPr>
                <w:i/>
                <w:sz w:val="24"/>
                <w:szCs w:val="24"/>
                <w:vertAlign w:val="subscript"/>
                <w:lang w:eastAsia="en-US"/>
              </w:rPr>
            </w:pPr>
            <w:r>
              <w:rPr>
                <w:i/>
                <w:sz w:val="24"/>
                <w:szCs w:val="24"/>
                <w:lang w:eastAsia="en-US"/>
              </w:rPr>
              <w:t>z</w:t>
            </w:r>
          </w:p>
        </w:tc>
        <w:tc>
          <w:tcPr>
            <w:tcW w:w="2046" w:type="dxa"/>
            <w:tcBorders>
              <w:top w:val="single" w:sz="8" w:space="0" w:color="008000"/>
              <w:left w:val="nil"/>
              <w:bottom w:val="single" w:sz="4" w:space="0" w:color="008000"/>
              <w:right w:val="nil"/>
            </w:tcBorders>
            <w:hideMark/>
          </w:tcPr>
          <w:p w14:paraId="184A1011" w14:textId="77777777" w:rsidR="00C831CA" w:rsidRDefault="00C831CA">
            <w:pPr>
              <w:keepNext/>
              <w:snapToGrid w:val="0"/>
              <w:spacing w:line="256" w:lineRule="auto"/>
              <w:jc w:val="center"/>
              <w:rPr>
                <w:sz w:val="24"/>
                <w:szCs w:val="24"/>
                <w:lang w:eastAsia="en-US"/>
              </w:rPr>
            </w:pPr>
            <w:proofErr w:type="gramStart"/>
            <w:r>
              <w:rPr>
                <w:i/>
                <w:sz w:val="24"/>
                <w:szCs w:val="24"/>
                <w:lang w:eastAsia="en-US"/>
              </w:rPr>
              <w:t>P</w:t>
            </w:r>
            <w:r>
              <w:rPr>
                <w:sz w:val="24"/>
                <w:szCs w:val="24"/>
                <w:lang w:eastAsia="en-US"/>
              </w:rPr>
              <w:t>[</w:t>
            </w:r>
            <w:proofErr w:type="gramEnd"/>
            <w:r>
              <w:rPr>
                <w:i/>
                <w:sz w:val="24"/>
                <w:szCs w:val="24"/>
                <w:lang w:eastAsia="en-US"/>
              </w:rPr>
              <w:t>Z</w:t>
            </w:r>
            <w:r>
              <w:rPr>
                <w:sz w:val="24"/>
                <w:szCs w:val="24"/>
                <w:lang w:eastAsia="en-US"/>
              </w:rPr>
              <w:t xml:space="preserve"> &lt; </w:t>
            </w:r>
            <w:r>
              <w:rPr>
                <w:i/>
                <w:sz w:val="24"/>
                <w:szCs w:val="24"/>
                <w:lang w:eastAsia="en-US"/>
              </w:rPr>
              <w:t>z</w:t>
            </w:r>
            <w:r>
              <w:rPr>
                <w:sz w:val="24"/>
                <w:szCs w:val="24"/>
                <w:lang w:eastAsia="en-US"/>
              </w:rPr>
              <w:t>]</w:t>
            </w:r>
          </w:p>
        </w:tc>
      </w:tr>
      <w:tr w:rsidR="00C831CA" w14:paraId="570A53F6" w14:textId="77777777" w:rsidTr="00C831CA">
        <w:trPr>
          <w:jc w:val="center"/>
        </w:trPr>
        <w:tc>
          <w:tcPr>
            <w:tcW w:w="913" w:type="dxa"/>
            <w:tcBorders>
              <w:top w:val="single" w:sz="4" w:space="0" w:color="008000"/>
              <w:left w:val="nil"/>
              <w:bottom w:val="nil"/>
              <w:right w:val="nil"/>
            </w:tcBorders>
            <w:hideMark/>
          </w:tcPr>
          <w:p w14:paraId="631FE9EA" w14:textId="77777777" w:rsidR="00C831CA" w:rsidRDefault="00C831CA">
            <w:pPr>
              <w:keepNext/>
              <w:snapToGrid w:val="0"/>
              <w:spacing w:line="256" w:lineRule="auto"/>
              <w:jc w:val="center"/>
              <w:rPr>
                <w:sz w:val="24"/>
                <w:szCs w:val="24"/>
                <w:lang w:eastAsia="en-US"/>
              </w:rPr>
            </w:pPr>
            <w:r>
              <w:rPr>
                <w:sz w:val="24"/>
                <w:szCs w:val="24"/>
                <w:lang w:eastAsia="en-US"/>
              </w:rPr>
              <w:t>-3</w:t>
            </w:r>
          </w:p>
        </w:tc>
        <w:tc>
          <w:tcPr>
            <w:tcW w:w="2046" w:type="dxa"/>
            <w:tcBorders>
              <w:top w:val="single" w:sz="4" w:space="0" w:color="008000"/>
              <w:left w:val="nil"/>
              <w:bottom w:val="nil"/>
              <w:right w:val="nil"/>
            </w:tcBorders>
            <w:hideMark/>
          </w:tcPr>
          <w:p w14:paraId="5A5DAEDE" w14:textId="77777777" w:rsidR="00C831CA" w:rsidRDefault="00C831CA">
            <w:pPr>
              <w:keepNext/>
              <w:snapToGrid w:val="0"/>
              <w:spacing w:line="256" w:lineRule="auto"/>
              <w:jc w:val="center"/>
              <w:rPr>
                <w:sz w:val="24"/>
                <w:szCs w:val="24"/>
                <w:lang w:eastAsia="en-US"/>
              </w:rPr>
            </w:pPr>
            <w:r>
              <w:rPr>
                <w:sz w:val="24"/>
                <w:szCs w:val="24"/>
                <w:lang w:eastAsia="en-US"/>
              </w:rPr>
              <w:t>0,00135</w:t>
            </w:r>
          </w:p>
        </w:tc>
      </w:tr>
      <w:tr w:rsidR="00C831CA" w14:paraId="035358A0" w14:textId="77777777" w:rsidTr="00C831CA">
        <w:trPr>
          <w:jc w:val="center"/>
        </w:trPr>
        <w:tc>
          <w:tcPr>
            <w:tcW w:w="913" w:type="dxa"/>
            <w:hideMark/>
          </w:tcPr>
          <w:p w14:paraId="4243F1FD" w14:textId="77777777" w:rsidR="00C831CA" w:rsidRDefault="00C831CA">
            <w:pPr>
              <w:keepNext/>
              <w:snapToGrid w:val="0"/>
              <w:spacing w:line="256" w:lineRule="auto"/>
              <w:jc w:val="center"/>
              <w:rPr>
                <w:sz w:val="24"/>
                <w:szCs w:val="24"/>
                <w:lang w:eastAsia="en-US"/>
              </w:rPr>
            </w:pPr>
            <w:r>
              <w:rPr>
                <w:sz w:val="24"/>
                <w:szCs w:val="24"/>
                <w:lang w:eastAsia="en-US"/>
              </w:rPr>
              <w:t>-2</w:t>
            </w:r>
          </w:p>
        </w:tc>
        <w:tc>
          <w:tcPr>
            <w:tcW w:w="2046" w:type="dxa"/>
            <w:hideMark/>
          </w:tcPr>
          <w:p w14:paraId="43A746C9" w14:textId="77777777" w:rsidR="00C831CA" w:rsidRDefault="00C831CA">
            <w:pPr>
              <w:keepNext/>
              <w:snapToGrid w:val="0"/>
              <w:spacing w:line="256" w:lineRule="auto"/>
              <w:ind w:hanging="70"/>
              <w:jc w:val="center"/>
              <w:rPr>
                <w:sz w:val="24"/>
                <w:szCs w:val="24"/>
                <w:lang w:eastAsia="en-US"/>
              </w:rPr>
            </w:pPr>
            <w:r>
              <w:rPr>
                <w:sz w:val="24"/>
                <w:szCs w:val="24"/>
                <w:lang w:eastAsia="en-US"/>
              </w:rPr>
              <w:t>0,02275</w:t>
            </w:r>
          </w:p>
        </w:tc>
      </w:tr>
      <w:tr w:rsidR="00C831CA" w14:paraId="33DAAE60" w14:textId="77777777" w:rsidTr="00C831CA">
        <w:trPr>
          <w:jc w:val="center"/>
        </w:trPr>
        <w:tc>
          <w:tcPr>
            <w:tcW w:w="913" w:type="dxa"/>
            <w:hideMark/>
          </w:tcPr>
          <w:p w14:paraId="2F7BB02B" w14:textId="77777777" w:rsidR="00C831CA" w:rsidRDefault="00C831CA">
            <w:pPr>
              <w:keepNext/>
              <w:snapToGrid w:val="0"/>
              <w:spacing w:line="256" w:lineRule="auto"/>
              <w:jc w:val="center"/>
              <w:rPr>
                <w:sz w:val="24"/>
                <w:szCs w:val="24"/>
                <w:lang w:eastAsia="en-US"/>
              </w:rPr>
            </w:pPr>
            <w:r>
              <w:rPr>
                <w:sz w:val="24"/>
                <w:szCs w:val="24"/>
                <w:lang w:eastAsia="en-US"/>
              </w:rPr>
              <w:t>-1</w:t>
            </w:r>
          </w:p>
        </w:tc>
        <w:tc>
          <w:tcPr>
            <w:tcW w:w="2046" w:type="dxa"/>
            <w:hideMark/>
          </w:tcPr>
          <w:p w14:paraId="37222463" w14:textId="77777777" w:rsidR="00C831CA" w:rsidRDefault="00C831CA">
            <w:pPr>
              <w:keepNext/>
              <w:snapToGrid w:val="0"/>
              <w:spacing w:line="256" w:lineRule="auto"/>
              <w:ind w:hanging="70"/>
              <w:jc w:val="center"/>
              <w:rPr>
                <w:sz w:val="24"/>
                <w:szCs w:val="24"/>
                <w:lang w:eastAsia="en-US"/>
              </w:rPr>
            </w:pPr>
            <w:r>
              <w:rPr>
                <w:sz w:val="24"/>
                <w:szCs w:val="24"/>
                <w:lang w:eastAsia="en-US"/>
              </w:rPr>
              <w:t>0,15865</w:t>
            </w:r>
          </w:p>
        </w:tc>
      </w:tr>
      <w:tr w:rsidR="00C831CA" w14:paraId="1DF464A3" w14:textId="77777777" w:rsidTr="00C831CA">
        <w:trPr>
          <w:jc w:val="center"/>
        </w:trPr>
        <w:tc>
          <w:tcPr>
            <w:tcW w:w="913" w:type="dxa"/>
            <w:tcBorders>
              <w:top w:val="nil"/>
              <w:left w:val="nil"/>
              <w:bottom w:val="single" w:sz="8" w:space="0" w:color="008000"/>
              <w:right w:val="nil"/>
            </w:tcBorders>
            <w:hideMark/>
          </w:tcPr>
          <w:p w14:paraId="67606C7E" w14:textId="77777777" w:rsidR="00C831CA" w:rsidRDefault="00C831CA">
            <w:pPr>
              <w:keepNext/>
              <w:snapToGrid w:val="0"/>
              <w:spacing w:line="256" w:lineRule="auto"/>
              <w:jc w:val="center"/>
              <w:rPr>
                <w:sz w:val="24"/>
                <w:szCs w:val="24"/>
                <w:lang w:eastAsia="en-US"/>
              </w:rPr>
            </w:pPr>
            <w:r>
              <w:rPr>
                <w:sz w:val="24"/>
                <w:szCs w:val="24"/>
                <w:lang w:eastAsia="en-US"/>
              </w:rPr>
              <w:t>0</w:t>
            </w:r>
          </w:p>
        </w:tc>
        <w:tc>
          <w:tcPr>
            <w:tcW w:w="2046" w:type="dxa"/>
            <w:tcBorders>
              <w:top w:val="nil"/>
              <w:left w:val="nil"/>
              <w:bottom w:val="single" w:sz="8" w:space="0" w:color="008000"/>
              <w:right w:val="nil"/>
            </w:tcBorders>
            <w:hideMark/>
          </w:tcPr>
          <w:p w14:paraId="792F12E2" w14:textId="77777777" w:rsidR="00C831CA" w:rsidRDefault="00C831CA">
            <w:pPr>
              <w:keepNext/>
              <w:snapToGrid w:val="0"/>
              <w:spacing w:line="256" w:lineRule="auto"/>
              <w:ind w:hanging="70"/>
              <w:jc w:val="center"/>
              <w:rPr>
                <w:sz w:val="24"/>
                <w:szCs w:val="24"/>
                <w:lang w:eastAsia="en-US"/>
              </w:rPr>
            </w:pPr>
            <w:r>
              <w:rPr>
                <w:sz w:val="24"/>
                <w:szCs w:val="24"/>
                <w:lang w:eastAsia="en-US"/>
              </w:rPr>
              <w:t>0,5</w:t>
            </w:r>
          </w:p>
        </w:tc>
      </w:tr>
    </w:tbl>
    <w:p w14:paraId="43C5707F" w14:textId="77777777" w:rsidR="00C831CA" w:rsidRDefault="00C831CA" w:rsidP="00C831CA">
      <w:pPr>
        <w:pStyle w:val="LegendaFigura"/>
        <w:spacing w:line="240" w:lineRule="auto"/>
        <w:rPr>
          <w:rFonts w:ascii="Times New Roman" w:hAnsi="Times New Roman"/>
          <w:sz w:val="24"/>
          <w:szCs w:val="24"/>
        </w:rPr>
      </w:pPr>
      <w:r>
        <w:rPr>
          <w:rFonts w:ascii="Times New Roman" w:hAnsi="Times New Roman"/>
          <w:b/>
          <w:sz w:val="24"/>
          <w:szCs w:val="24"/>
        </w:rPr>
        <w:t xml:space="preserve">Figura 2 </w:t>
      </w:r>
      <w:r>
        <w:rPr>
          <w:rFonts w:ascii="Times New Roman" w:hAnsi="Times New Roman"/>
          <w:sz w:val="24"/>
          <w:szCs w:val="24"/>
        </w:rPr>
        <w:t xml:space="preserve">– </w:t>
      </w:r>
      <w:r>
        <w:rPr>
          <w:rFonts w:ascii="Times New Roman" w:hAnsi="Times New Roman"/>
          <w:i/>
          <w:sz w:val="24"/>
          <w:szCs w:val="24"/>
        </w:rPr>
        <w:t>Tabela de distribuição normal</w:t>
      </w:r>
      <w:r>
        <w:rPr>
          <w:rFonts w:ascii="Times New Roman" w:hAnsi="Times New Roman"/>
          <w:sz w:val="24"/>
          <w:szCs w:val="24"/>
        </w:rPr>
        <w:t>.</w:t>
      </w:r>
    </w:p>
    <w:p w14:paraId="08798338" w14:textId="77777777" w:rsidR="00C831CA" w:rsidRDefault="00C831CA" w:rsidP="00C831CA">
      <w:pPr>
        <w:jc w:val="both"/>
        <w:rPr>
          <w:sz w:val="24"/>
          <w:szCs w:val="24"/>
        </w:rPr>
      </w:pPr>
    </w:p>
    <w:p w14:paraId="38ABAEF8" w14:textId="77777777" w:rsidR="00C831CA" w:rsidRDefault="00C831CA" w:rsidP="00C831CA">
      <w:pPr>
        <w:jc w:val="both"/>
        <w:rPr>
          <w:sz w:val="24"/>
          <w:szCs w:val="24"/>
        </w:rPr>
      </w:pPr>
      <w:r>
        <w:rPr>
          <w:sz w:val="24"/>
          <w:szCs w:val="24"/>
        </w:rPr>
        <w:t xml:space="preserve">É possível demonstrar que, se </w:t>
      </w:r>
      <w:r>
        <w:rPr>
          <w:i/>
          <w:sz w:val="24"/>
          <w:szCs w:val="24"/>
        </w:rPr>
        <w:t>X</w:t>
      </w:r>
      <w:r>
        <w:rPr>
          <w:sz w:val="24"/>
          <w:szCs w:val="24"/>
        </w:rPr>
        <w:t xml:space="preserve"> tem distribuição normal </w:t>
      </w:r>
      <w:r>
        <w:rPr>
          <w:position w:val="-10"/>
          <w:sz w:val="24"/>
          <w:szCs w:val="24"/>
          <w:lang w:eastAsia="ar-SA"/>
        </w:rPr>
        <w:object w:dxaOrig="975" w:dyaOrig="360" w14:anchorId="0032DD89">
          <v:shape id="_x0000_i1031" type="#_x0000_t75" style="width:48.75pt;height:18pt" o:ole="" filled="t">
            <v:fill color2="black"/>
            <v:imagedata r:id="rId15" o:title=""/>
          </v:shape>
          <o:OLEObject Type="Embed" ProgID="Equation.3" ShapeID="_x0000_i1031" DrawAspect="Content" ObjectID="_1714339153" r:id="rId16"/>
        </w:object>
      </w:r>
      <w:r>
        <w:rPr>
          <w:sz w:val="24"/>
          <w:szCs w:val="24"/>
        </w:rPr>
        <w:t xml:space="preserve">, então </w:t>
      </w:r>
      <w:r>
        <w:rPr>
          <w:position w:val="-19"/>
          <w:sz w:val="24"/>
          <w:szCs w:val="24"/>
          <w:lang w:eastAsia="ar-SA"/>
        </w:rPr>
        <w:object w:dxaOrig="720" w:dyaOrig="615" w14:anchorId="3A698D76">
          <v:shape id="_x0000_i1032" type="#_x0000_t75" style="width:36pt;height:30.75pt" o:ole="" filled="t">
            <v:fill color2="black"/>
            <v:imagedata r:id="rId17" o:title=""/>
          </v:shape>
          <o:OLEObject Type="Embed" ProgID="Equation.3" ShapeID="_x0000_i1032" DrawAspect="Content" ObjectID="_1714339154" r:id="rId18"/>
        </w:object>
      </w:r>
      <w:r>
        <w:rPr>
          <w:sz w:val="24"/>
          <w:szCs w:val="24"/>
        </w:rPr>
        <w:t>tem distribuição normal-padrão. Usando esse fato e a tabela de distribuição normal-padrão, podemos calcular probabilidades para qualquer distribuição normal.).</w:t>
      </w:r>
    </w:p>
    <w:p w14:paraId="2D643FB4" w14:textId="77777777" w:rsidR="00C831CA" w:rsidRDefault="00C831CA" w:rsidP="00C831CA">
      <w:pPr>
        <w:pStyle w:val="Ttulo2"/>
        <w:numPr>
          <w:ilvl w:val="0"/>
          <w:numId w:val="0"/>
        </w:numPr>
        <w:tabs>
          <w:tab w:val="left" w:pos="720"/>
        </w:tabs>
        <w:spacing w:line="240" w:lineRule="auto"/>
        <w:rPr>
          <w:rFonts w:ascii="Times New Roman" w:hAnsi="Times New Roman"/>
          <w:sz w:val="24"/>
          <w:szCs w:val="24"/>
        </w:rPr>
      </w:pPr>
    </w:p>
    <w:p w14:paraId="79ECAD89" w14:textId="77777777" w:rsidR="00C831CA" w:rsidRDefault="00C831CA" w:rsidP="00C831CA">
      <w:pPr>
        <w:pStyle w:val="Ttulo2"/>
        <w:numPr>
          <w:ilvl w:val="0"/>
          <w:numId w:val="0"/>
        </w:numPr>
        <w:tabs>
          <w:tab w:val="left" w:pos="720"/>
        </w:tabs>
        <w:spacing w:line="240" w:lineRule="auto"/>
        <w:rPr>
          <w:rFonts w:ascii="Times New Roman" w:hAnsi="Times New Roman"/>
          <w:b w:val="0"/>
          <w:sz w:val="24"/>
          <w:szCs w:val="24"/>
        </w:rPr>
      </w:pPr>
      <w:r>
        <w:rPr>
          <w:rFonts w:ascii="Times New Roman" w:hAnsi="Times New Roman"/>
          <w:b w:val="0"/>
          <w:sz w:val="24"/>
          <w:szCs w:val="24"/>
        </w:rPr>
        <w:t>6.2. var DE um único ativo</w:t>
      </w:r>
    </w:p>
    <w:p w14:paraId="07CA561C" w14:textId="77777777" w:rsidR="00C831CA" w:rsidRDefault="00C831CA" w:rsidP="00C831CA">
      <w:pPr>
        <w:rPr>
          <w:sz w:val="24"/>
          <w:szCs w:val="24"/>
        </w:rPr>
      </w:pPr>
    </w:p>
    <w:p w14:paraId="78563507" w14:textId="77777777" w:rsidR="00C831CA" w:rsidRDefault="00C831CA" w:rsidP="00C831CA">
      <w:pPr>
        <w:ind w:firstLine="708"/>
        <w:jc w:val="both"/>
        <w:rPr>
          <w:sz w:val="24"/>
          <w:szCs w:val="24"/>
        </w:rPr>
      </w:pPr>
      <w:r>
        <w:rPr>
          <w:sz w:val="24"/>
          <w:szCs w:val="24"/>
        </w:rPr>
        <w:t>Para simplificar a análise, imaginemos que a nossa carteira seja composta por um único ativo (uma ação com boa liquidez). Primeiramente, deveremos modelar estatisticamente o comportamento do preço da ação, ou seja, deveremos determinar a distribuição de probabilidade do seu preço. A experiência é simples: listar os desvios (acréscimos ou decréscimos de preço) verificados em um período fixo de dias, e desenhar um histograma, para começar. Anota-se o preço do ativo hoje, amanhã, depois e verifica-se quanto o preço se desviou de um dia para outro. A Figura 3 apresenta o histograma dos retornos de Petrobras PN no período de 13/12/2001 a 13/12/2002.</w:t>
      </w:r>
    </w:p>
    <w:p w14:paraId="1E3D4AFA" w14:textId="00C83801" w:rsidR="00C831CA" w:rsidRDefault="00C831CA" w:rsidP="00C831CA">
      <w:pPr>
        <w:pStyle w:val="Figura"/>
        <w:rPr>
          <w:rFonts w:ascii="Times New Roman" w:hAnsi="Times New Roman"/>
          <w:b/>
          <w:sz w:val="24"/>
          <w:szCs w:val="24"/>
        </w:rPr>
      </w:pPr>
      <w:r>
        <w:rPr>
          <w:rFonts w:ascii="Times New Roman" w:hAnsi="Times New Roman"/>
          <w:noProof/>
          <w:sz w:val="24"/>
          <w:szCs w:val="24"/>
          <w:lang w:eastAsia="pt-BR"/>
        </w:rPr>
        <w:lastRenderedPageBreak/>
        <w:drawing>
          <wp:inline distT="0" distB="0" distL="0" distR="0" wp14:anchorId="7E64C6A6" wp14:editId="6BB7AF2D">
            <wp:extent cx="4381500" cy="28860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2886075"/>
                    </a:xfrm>
                    <a:prstGeom prst="rect">
                      <a:avLst/>
                    </a:prstGeom>
                    <a:solidFill>
                      <a:srgbClr val="FFFFFF"/>
                    </a:solidFill>
                    <a:ln>
                      <a:noFill/>
                    </a:ln>
                  </pic:spPr>
                </pic:pic>
              </a:graphicData>
            </a:graphic>
          </wp:inline>
        </w:drawing>
      </w:r>
    </w:p>
    <w:p w14:paraId="30720EFF" w14:textId="5A0C9378" w:rsidR="00C831CA" w:rsidRDefault="00C831CA" w:rsidP="00C831CA">
      <w:pPr>
        <w:pStyle w:val="LegendaFigura"/>
        <w:spacing w:line="240" w:lineRule="auto"/>
        <w:rPr>
          <w:rFonts w:ascii="Times New Roman" w:hAnsi="Times New Roman"/>
          <w:i/>
          <w:sz w:val="24"/>
          <w:szCs w:val="24"/>
        </w:rPr>
      </w:pPr>
      <w:r>
        <w:rPr>
          <w:rFonts w:ascii="Times New Roman" w:hAnsi="Times New Roman"/>
          <w:b/>
          <w:sz w:val="24"/>
          <w:szCs w:val="24"/>
        </w:rPr>
        <w:t xml:space="preserve">Figura </w:t>
      </w:r>
      <w:r>
        <w:rPr>
          <w:rFonts w:ascii="Times New Roman" w:hAnsi="Times New Roman"/>
          <w:b/>
          <w:sz w:val="24"/>
          <w:szCs w:val="24"/>
        </w:rPr>
        <w:fldChar w:fldCharType="begin"/>
      </w:r>
      <w:r>
        <w:rPr>
          <w:rFonts w:ascii="Times New Roman" w:hAnsi="Times New Roman"/>
          <w:b/>
          <w:sz w:val="24"/>
          <w:szCs w:val="24"/>
        </w:rPr>
        <w:instrText xml:space="preserve"> SEQ "Figura_2." \*Arabic </w:instrText>
      </w:r>
      <w:r>
        <w:rPr>
          <w:rFonts w:ascii="Times New Roman" w:hAnsi="Times New Roman"/>
          <w:b/>
          <w:sz w:val="24"/>
          <w:szCs w:val="24"/>
        </w:rPr>
        <w:fldChar w:fldCharType="separate"/>
      </w:r>
      <w:r>
        <w:rPr>
          <w:rFonts w:ascii="Times New Roman" w:hAnsi="Times New Roman"/>
          <w:b/>
          <w:noProof/>
          <w:sz w:val="24"/>
          <w:szCs w:val="24"/>
        </w:rPr>
        <w:t>1</w:t>
      </w:r>
      <w:r>
        <w:rPr>
          <w:rFonts w:ascii="Times New Roman" w:hAnsi="Times New Roman"/>
          <w:b/>
          <w:sz w:val="24"/>
          <w:szCs w:val="24"/>
        </w:rPr>
        <w:fldChar w:fldCharType="end"/>
      </w:r>
      <w:r>
        <w:rPr>
          <w:rFonts w:ascii="Times New Roman" w:hAnsi="Times New Roman"/>
          <w:sz w:val="24"/>
          <w:szCs w:val="24"/>
        </w:rPr>
        <w:t xml:space="preserve"> – </w:t>
      </w:r>
      <w:r>
        <w:rPr>
          <w:rFonts w:ascii="Times New Roman" w:hAnsi="Times New Roman"/>
          <w:i/>
          <w:sz w:val="24"/>
          <w:szCs w:val="24"/>
        </w:rPr>
        <w:t>Histograma dos retornos de Petrobras PN.</w:t>
      </w:r>
    </w:p>
    <w:p w14:paraId="22B60CA1" w14:textId="77777777" w:rsidR="00C831CA" w:rsidRDefault="00C831CA" w:rsidP="00C831CA">
      <w:pPr>
        <w:jc w:val="both"/>
        <w:rPr>
          <w:sz w:val="24"/>
          <w:szCs w:val="24"/>
        </w:rPr>
      </w:pPr>
      <w:r>
        <w:rPr>
          <w:sz w:val="24"/>
          <w:szCs w:val="24"/>
        </w:rPr>
        <w:t xml:space="preserve">Observando a Figura 3, a primeira </w:t>
      </w:r>
      <w:proofErr w:type="spellStart"/>
      <w:r>
        <w:rPr>
          <w:sz w:val="24"/>
          <w:szCs w:val="24"/>
        </w:rPr>
        <w:t>idéia</w:t>
      </w:r>
      <w:proofErr w:type="spellEnd"/>
      <w:r>
        <w:rPr>
          <w:sz w:val="24"/>
          <w:szCs w:val="24"/>
        </w:rPr>
        <w:t xml:space="preserve"> que nos parece adequada é admitir que as variações percentuais se enquadram em uma distribuição normal, obtemos o </w:t>
      </w:r>
      <w:proofErr w:type="spellStart"/>
      <w:r>
        <w:rPr>
          <w:i/>
          <w:sz w:val="24"/>
          <w:szCs w:val="24"/>
        </w:rPr>
        <w:t>VaR</w:t>
      </w:r>
      <w:proofErr w:type="spellEnd"/>
      <w:r>
        <w:rPr>
          <w:sz w:val="24"/>
          <w:szCs w:val="24"/>
        </w:rPr>
        <w:t xml:space="preserve"> de um dia do ativo que é:</w:t>
      </w:r>
    </w:p>
    <w:p w14:paraId="3D0F349C"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8"/>
          <w:sz w:val="24"/>
          <w:szCs w:val="24"/>
        </w:rPr>
        <w:object w:dxaOrig="2235" w:dyaOrig="360" w14:anchorId="7B25D446">
          <v:shape id="_x0000_i1034" type="#_x0000_t75" style="width:111.75pt;height:18pt" o:ole="" filled="t">
            <v:fill color2="black"/>
            <v:imagedata r:id="rId20" o:title=""/>
          </v:shape>
          <o:OLEObject Type="Embed" ProgID="Equation.3" ShapeID="_x0000_i1034" DrawAspect="Content" ObjectID="_1714339155" r:id="rId21"/>
        </w:object>
      </w:r>
      <w:r>
        <w:rPr>
          <w:rFonts w:ascii="Times New Roman" w:hAnsi="Times New Roman"/>
          <w:sz w:val="24"/>
          <w:szCs w:val="24"/>
        </w:rPr>
        <w:t>.</w:t>
      </w:r>
      <w:r>
        <w:rPr>
          <w:rFonts w:ascii="Times New Roman" w:hAnsi="Times New Roman"/>
          <w:sz w:val="24"/>
          <w:szCs w:val="24"/>
        </w:rPr>
        <w:tab/>
        <w:t>(1)</w:t>
      </w:r>
    </w:p>
    <w:p w14:paraId="0B622063" w14:textId="77777777" w:rsidR="00C831CA" w:rsidRDefault="00C831CA" w:rsidP="00C831CA">
      <w:pPr>
        <w:pStyle w:val="LegendaEquacao"/>
        <w:tabs>
          <w:tab w:val="left" w:pos="709"/>
        </w:tabs>
        <w:spacing w:before="0" w:after="120" w:line="240" w:lineRule="auto"/>
        <w:rPr>
          <w:rFonts w:ascii="Times New Roman" w:hAnsi="Times New Roman"/>
          <w:sz w:val="24"/>
          <w:szCs w:val="24"/>
        </w:rPr>
      </w:pPr>
      <w:r>
        <w:rPr>
          <w:rFonts w:ascii="Times New Roman" w:hAnsi="Times New Roman"/>
          <w:sz w:val="24"/>
          <w:szCs w:val="24"/>
        </w:rPr>
        <w:t>Onde:</w:t>
      </w:r>
    </w:p>
    <w:p w14:paraId="4E813607" w14:textId="77777777" w:rsidR="00C831CA" w:rsidRDefault="00C831CA" w:rsidP="00C831CA">
      <w:pPr>
        <w:jc w:val="both"/>
        <w:rPr>
          <w:sz w:val="24"/>
          <w:szCs w:val="24"/>
        </w:rPr>
      </w:pPr>
      <w:r>
        <w:rPr>
          <w:i/>
          <w:sz w:val="24"/>
          <w:szCs w:val="24"/>
        </w:rPr>
        <w:t>X</w:t>
      </w:r>
      <w:r>
        <w:rPr>
          <w:sz w:val="24"/>
          <w:szCs w:val="24"/>
          <w:vertAlign w:val="subscript"/>
        </w:rPr>
        <w:t>0</w:t>
      </w:r>
      <w:r>
        <w:rPr>
          <w:i/>
          <w:sz w:val="24"/>
          <w:szCs w:val="24"/>
        </w:rPr>
        <w:t xml:space="preserve"> </w:t>
      </w:r>
      <w:r>
        <w:rPr>
          <w:sz w:val="24"/>
          <w:szCs w:val="24"/>
        </w:rPr>
        <w:t>= valor presente ou marcado a mercado investido no ativo;</w:t>
      </w:r>
    </w:p>
    <w:p w14:paraId="4E028FFF" w14:textId="77777777" w:rsidR="00C831CA" w:rsidRDefault="00C831CA" w:rsidP="00C831CA">
      <w:pPr>
        <w:jc w:val="both"/>
        <w:rPr>
          <w:sz w:val="24"/>
          <w:szCs w:val="24"/>
        </w:rPr>
      </w:pPr>
      <w:r>
        <w:rPr>
          <w:position w:val="-6"/>
          <w:sz w:val="24"/>
          <w:szCs w:val="24"/>
          <w:lang w:eastAsia="ar-SA"/>
        </w:rPr>
        <w:object w:dxaOrig="420" w:dyaOrig="360" w14:anchorId="754D78F0">
          <v:shape id="_x0000_i1035" type="#_x0000_t75" style="width:21pt;height:18pt" o:ole="" filled="t">
            <v:fill color2="black"/>
            <v:imagedata r:id="rId22" o:title=""/>
          </v:shape>
          <o:OLEObject Type="Embed" ProgID="Equation.3" ShapeID="_x0000_i1035" DrawAspect="Content" ObjectID="_1714339156" r:id="rId23"/>
        </w:object>
      </w:r>
      <w:r>
        <w:rPr>
          <w:sz w:val="24"/>
          <w:szCs w:val="24"/>
        </w:rPr>
        <w:t xml:space="preserve"> = constante relativa ao número de desvios-padrão para o nível de confiança desejado, isto é, </w:t>
      </w:r>
      <w:proofErr w:type="spellStart"/>
      <w:r>
        <w:rPr>
          <w:sz w:val="24"/>
          <w:szCs w:val="24"/>
        </w:rPr>
        <w:t>quantil</w:t>
      </w:r>
      <w:proofErr w:type="spellEnd"/>
      <w:r>
        <w:rPr>
          <w:sz w:val="24"/>
          <w:szCs w:val="24"/>
        </w:rPr>
        <w:t xml:space="preserve"> correspondente a (1 – </w:t>
      </w:r>
      <w:r>
        <w:rPr>
          <w:i/>
          <w:sz w:val="24"/>
          <w:szCs w:val="24"/>
        </w:rPr>
        <w:t>α</w:t>
      </w:r>
      <w:r>
        <w:rPr>
          <w:sz w:val="24"/>
          <w:szCs w:val="24"/>
        </w:rPr>
        <w:t>) de uma distribuição normal-padrão;</w:t>
      </w:r>
    </w:p>
    <w:p w14:paraId="535B013A" w14:textId="77777777" w:rsidR="00C831CA" w:rsidRDefault="00C831CA" w:rsidP="00C831CA">
      <w:pPr>
        <w:jc w:val="both"/>
        <w:rPr>
          <w:sz w:val="24"/>
          <w:szCs w:val="24"/>
        </w:rPr>
      </w:pPr>
      <w:r>
        <w:rPr>
          <w:position w:val="1"/>
          <w:sz w:val="24"/>
          <w:szCs w:val="24"/>
          <w:lang w:eastAsia="ar-SA"/>
        </w:rPr>
        <w:object w:dxaOrig="240" w:dyaOrig="225" w14:anchorId="3825849A">
          <v:shape id="_x0000_i1036" type="#_x0000_t75" style="width:12pt;height:11.25pt" o:ole="" filled="t">
            <v:fill color2="black"/>
            <v:imagedata r:id="rId24" o:title=""/>
          </v:shape>
          <o:OLEObject Type="Embed" ProgID="Equation.3" ShapeID="_x0000_i1036" DrawAspect="Content" ObjectID="_1714339157" r:id="rId25"/>
        </w:object>
      </w:r>
      <w:r>
        <w:rPr>
          <w:sz w:val="24"/>
          <w:szCs w:val="24"/>
        </w:rPr>
        <w:t xml:space="preserve"> = desvio-padrão ou volatilidade diária do retorno do ativo;</w:t>
      </w:r>
    </w:p>
    <w:p w14:paraId="654AF4DF" w14:textId="77777777" w:rsidR="00C831CA" w:rsidRDefault="00C831CA" w:rsidP="00C831CA">
      <w:pPr>
        <w:jc w:val="both"/>
        <w:rPr>
          <w:sz w:val="24"/>
          <w:szCs w:val="24"/>
        </w:rPr>
      </w:pPr>
      <w:r>
        <w:rPr>
          <w:position w:val="-1"/>
          <w:sz w:val="24"/>
          <w:szCs w:val="24"/>
          <w:lang w:eastAsia="ar-SA"/>
        </w:rPr>
        <w:object w:dxaOrig="240" w:dyaOrig="255" w14:anchorId="125CD3B3">
          <v:shape id="_x0000_i1037" type="#_x0000_t75" style="width:12pt;height:12.75pt" o:ole="" filled="t">
            <v:fill color2="black"/>
            <v:imagedata r:id="rId26" o:title=""/>
          </v:shape>
          <o:OLEObject Type="Embed" ProgID="Equation.3" ShapeID="_x0000_i1037" DrawAspect="Content" ObjectID="_1714339158" r:id="rId27"/>
        </w:object>
      </w:r>
      <w:r>
        <w:rPr>
          <w:sz w:val="24"/>
          <w:szCs w:val="24"/>
        </w:rPr>
        <w:t xml:space="preserve"> = retorno esperado de um dia para o ativo.</w:t>
      </w:r>
    </w:p>
    <w:p w14:paraId="07A0F0F2" w14:textId="77777777" w:rsidR="00C831CA" w:rsidRDefault="00C831CA" w:rsidP="00C831CA">
      <w:pPr>
        <w:ind w:firstLine="708"/>
        <w:jc w:val="both"/>
        <w:rPr>
          <w:sz w:val="24"/>
          <w:szCs w:val="24"/>
        </w:rPr>
      </w:pPr>
    </w:p>
    <w:p w14:paraId="444836E6" w14:textId="77777777" w:rsidR="00C831CA" w:rsidRDefault="00C831CA" w:rsidP="00C831CA">
      <w:pPr>
        <w:ind w:firstLine="708"/>
        <w:jc w:val="both"/>
        <w:rPr>
          <w:sz w:val="24"/>
          <w:szCs w:val="24"/>
        </w:rPr>
      </w:pPr>
      <w:r>
        <w:rPr>
          <w:sz w:val="24"/>
          <w:szCs w:val="24"/>
        </w:rPr>
        <w:t>O valor marcado a mercado de um ativo é o seu valor justo (</w:t>
      </w:r>
      <w:r>
        <w:rPr>
          <w:i/>
          <w:sz w:val="24"/>
          <w:szCs w:val="24"/>
        </w:rPr>
        <w:t xml:space="preserve">fair </w:t>
      </w:r>
      <w:proofErr w:type="spellStart"/>
      <w:r>
        <w:rPr>
          <w:i/>
          <w:sz w:val="24"/>
          <w:szCs w:val="24"/>
        </w:rPr>
        <w:t>value</w:t>
      </w:r>
      <w:proofErr w:type="spellEnd"/>
      <w:r>
        <w:rPr>
          <w:sz w:val="24"/>
          <w:szCs w:val="24"/>
        </w:rPr>
        <w:t xml:space="preserve">). E o que seria um valor justo? Não há regras ou normas estabelecidas para definir o valor de mercado. Como orientação geral, o valor justo seria o valor que o mercado estaria disposto a negociar para o ativo ou contrato. Se for um título que seja negociado em mercado secundário com boa liquidez, o valor de mercado pode, simplesmente, ser considerado como o valor médio das negociações realizadas no dia ou, ainda, o da última negociação. Se não há boa liquidez, pode-se, por exemplo, avaliar o título através de consultas a mesas de operações de outras instituições financeiras, verificando o preço a que estariam dispostos a fechar uma transação. Em determinados casos, a avaliação a mercado de um contrato pode ser </w:t>
      </w:r>
      <w:proofErr w:type="gramStart"/>
      <w:r>
        <w:rPr>
          <w:sz w:val="24"/>
          <w:szCs w:val="24"/>
        </w:rPr>
        <w:t>visto</w:t>
      </w:r>
      <w:proofErr w:type="gramEnd"/>
      <w:r>
        <w:rPr>
          <w:sz w:val="24"/>
          <w:szCs w:val="24"/>
        </w:rPr>
        <w:t xml:space="preserve"> como um valor de reposição do mesmo. Supondo um contrato de </w:t>
      </w:r>
      <w:r>
        <w:rPr>
          <w:i/>
          <w:sz w:val="24"/>
          <w:szCs w:val="24"/>
        </w:rPr>
        <w:t>swap</w:t>
      </w:r>
      <w:r>
        <w:rPr>
          <w:sz w:val="24"/>
          <w:szCs w:val="24"/>
        </w:rPr>
        <w:t>, é possível avaliá-lo considerando, como valor justo, o valor de um novo contrato com mesmo vencimento e mesmas condições contratuais. Pode-se, também, avaliar um ativo ou contrato através do cálculo do valor presente do seu fluxo de caixa futuro, descontando seus pagamentos ou recebimentos futuros por taxas de juro de mercado.</w:t>
      </w:r>
    </w:p>
    <w:p w14:paraId="216EFE3B" w14:textId="77777777" w:rsidR="00C831CA" w:rsidRDefault="00C831CA" w:rsidP="00C831CA">
      <w:pPr>
        <w:ind w:firstLine="708"/>
        <w:jc w:val="both"/>
        <w:rPr>
          <w:sz w:val="24"/>
          <w:szCs w:val="24"/>
        </w:rPr>
      </w:pPr>
      <w:r>
        <w:rPr>
          <w:sz w:val="24"/>
          <w:szCs w:val="24"/>
        </w:rPr>
        <w:t>A avaliação a mercado é imprescindível para a atividade de mensuração do risco de mercado. De nada adianta calcular determinadas medidas de risco (</w:t>
      </w:r>
      <w:proofErr w:type="spellStart"/>
      <w:r>
        <w:rPr>
          <w:i/>
          <w:sz w:val="24"/>
          <w:szCs w:val="24"/>
        </w:rPr>
        <w:t>VaR</w:t>
      </w:r>
      <w:proofErr w:type="spellEnd"/>
      <w:r>
        <w:rPr>
          <w:sz w:val="24"/>
          <w:szCs w:val="24"/>
        </w:rPr>
        <w:t>, por exemplo) sobre carteiras que não estejam devidamente avaliadas a mercado. As estimativas de possíveis perdas estariam inteiramente equivocadas.</w:t>
      </w:r>
    </w:p>
    <w:p w14:paraId="3A1BEDC2" w14:textId="77777777" w:rsidR="00C831CA" w:rsidRDefault="00C831CA" w:rsidP="00C831CA">
      <w:pPr>
        <w:ind w:firstLine="708"/>
        <w:jc w:val="both"/>
        <w:rPr>
          <w:sz w:val="24"/>
          <w:szCs w:val="24"/>
        </w:rPr>
      </w:pPr>
      <w:r>
        <w:rPr>
          <w:sz w:val="24"/>
          <w:szCs w:val="24"/>
        </w:rPr>
        <w:lastRenderedPageBreak/>
        <w:t xml:space="preserve">O sinal negativo no lado direito da Equação 1 aparece, porque estamos considerando a distribuição dos ganhos. Sendo o </w:t>
      </w:r>
      <w:proofErr w:type="spellStart"/>
      <w:r>
        <w:rPr>
          <w:i/>
          <w:sz w:val="24"/>
          <w:szCs w:val="24"/>
        </w:rPr>
        <w:t>VaR</w:t>
      </w:r>
      <w:proofErr w:type="spellEnd"/>
      <w:r>
        <w:rPr>
          <w:sz w:val="24"/>
          <w:szCs w:val="24"/>
        </w:rPr>
        <w:t xml:space="preserve"> uma medida de perda, corresponde a um ganho negativo. De agora em diante, apresentaremos as fórmulas para cálculo do </w:t>
      </w:r>
      <w:proofErr w:type="spellStart"/>
      <w:r>
        <w:rPr>
          <w:i/>
          <w:sz w:val="24"/>
          <w:szCs w:val="24"/>
        </w:rPr>
        <w:t>VaR</w:t>
      </w:r>
      <w:proofErr w:type="spellEnd"/>
      <w:r>
        <w:rPr>
          <w:sz w:val="24"/>
          <w:szCs w:val="24"/>
        </w:rPr>
        <w:t xml:space="preserve"> sem o sinal de subtração (-), subentendendo que se trata de uma perda (caso o </w:t>
      </w:r>
      <w:proofErr w:type="spellStart"/>
      <w:r>
        <w:rPr>
          <w:i/>
          <w:sz w:val="24"/>
          <w:szCs w:val="24"/>
        </w:rPr>
        <w:t>VaR</w:t>
      </w:r>
      <w:proofErr w:type="spellEnd"/>
      <w:r>
        <w:rPr>
          <w:sz w:val="24"/>
          <w:szCs w:val="24"/>
        </w:rPr>
        <w:t xml:space="preserve"> seja positivo, o pior resultado dentro do intervalo de confiança considerado corresponde a um ganho).</w:t>
      </w:r>
    </w:p>
    <w:p w14:paraId="5C7CFA86" w14:textId="77777777" w:rsidR="00C831CA" w:rsidRDefault="00C831CA" w:rsidP="00C831CA">
      <w:pPr>
        <w:ind w:firstLine="708"/>
        <w:jc w:val="both"/>
        <w:rPr>
          <w:sz w:val="24"/>
          <w:szCs w:val="24"/>
        </w:rPr>
      </w:pPr>
      <w:r>
        <w:rPr>
          <w:sz w:val="24"/>
          <w:szCs w:val="24"/>
        </w:rPr>
        <w:t>Para horizontes de tempo curtos (tipicamente de um dia), o retorno esperado é bem pequeno, podendo ser aproximado para zero, assim a Equação simplifica-se para</w:t>
      </w:r>
    </w:p>
    <w:p w14:paraId="41A3D8B9"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8"/>
          <w:sz w:val="24"/>
          <w:szCs w:val="24"/>
        </w:rPr>
        <w:object w:dxaOrig="1545" w:dyaOrig="360" w14:anchorId="0E324602">
          <v:shape id="_x0000_i1038" type="#_x0000_t75" style="width:77.25pt;height:18pt" o:ole="" filled="t">
            <v:fill color2="black"/>
            <v:imagedata r:id="rId28" o:title=""/>
          </v:shape>
          <o:OLEObject Type="Embed" ProgID="Equation.3" ShapeID="_x0000_i1038" DrawAspect="Content" ObjectID="_1714339159" r:id="rId29"/>
        </w:object>
      </w:r>
      <w:r>
        <w:rPr>
          <w:rFonts w:ascii="Times New Roman" w:hAnsi="Times New Roman"/>
          <w:sz w:val="24"/>
          <w:szCs w:val="24"/>
        </w:rPr>
        <w:t>.</w:t>
      </w:r>
      <w:r>
        <w:rPr>
          <w:rFonts w:ascii="Times New Roman" w:hAnsi="Times New Roman"/>
          <w:sz w:val="24"/>
          <w:szCs w:val="24"/>
        </w:rPr>
        <w:tab/>
        <w:t>(2)</w:t>
      </w:r>
    </w:p>
    <w:p w14:paraId="45BDF637" w14:textId="77777777" w:rsidR="00C831CA" w:rsidRDefault="00C831CA" w:rsidP="00C831CA">
      <w:pPr>
        <w:jc w:val="both"/>
        <w:rPr>
          <w:sz w:val="24"/>
          <w:szCs w:val="24"/>
        </w:rPr>
      </w:pPr>
      <w:r>
        <w:rPr>
          <w:sz w:val="24"/>
          <w:szCs w:val="24"/>
        </w:rPr>
        <w:t xml:space="preserve">O </w:t>
      </w:r>
      <w:proofErr w:type="spellStart"/>
      <w:r>
        <w:rPr>
          <w:i/>
          <w:sz w:val="24"/>
          <w:szCs w:val="24"/>
        </w:rPr>
        <w:t>VaR</w:t>
      </w:r>
      <w:proofErr w:type="spellEnd"/>
      <w:r>
        <w:rPr>
          <w:sz w:val="24"/>
          <w:szCs w:val="24"/>
        </w:rPr>
        <w:t xml:space="preserve"> calculado com a ajuda da Equação 2 é chamado de </w:t>
      </w:r>
      <w:proofErr w:type="spellStart"/>
      <w:r>
        <w:rPr>
          <w:i/>
          <w:sz w:val="24"/>
          <w:szCs w:val="24"/>
        </w:rPr>
        <w:t>VaR</w:t>
      </w:r>
      <w:proofErr w:type="spellEnd"/>
      <w:r>
        <w:rPr>
          <w:sz w:val="24"/>
          <w:szCs w:val="24"/>
        </w:rPr>
        <w:t xml:space="preserve"> relativo (perda relativa à média). Já o </w:t>
      </w:r>
      <w:proofErr w:type="spellStart"/>
      <w:r>
        <w:rPr>
          <w:i/>
          <w:sz w:val="24"/>
          <w:szCs w:val="24"/>
        </w:rPr>
        <w:t>VaR</w:t>
      </w:r>
      <w:proofErr w:type="spellEnd"/>
      <w:r>
        <w:rPr>
          <w:sz w:val="24"/>
          <w:szCs w:val="24"/>
        </w:rPr>
        <w:t xml:space="preserve"> determinado pela Equação 1 é denominado de </w:t>
      </w:r>
      <w:proofErr w:type="spellStart"/>
      <w:r>
        <w:rPr>
          <w:i/>
          <w:sz w:val="24"/>
          <w:szCs w:val="24"/>
        </w:rPr>
        <w:t>VaR</w:t>
      </w:r>
      <w:proofErr w:type="spellEnd"/>
      <w:r>
        <w:rPr>
          <w:sz w:val="24"/>
          <w:szCs w:val="24"/>
        </w:rPr>
        <w:t xml:space="preserve"> absoluto.</w:t>
      </w:r>
    </w:p>
    <w:p w14:paraId="239B80FC" w14:textId="77777777" w:rsidR="00C831CA" w:rsidRDefault="00C831CA" w:rsidP="00C831CA">
      <w:pPr>
        <w:jc w:val="both"/>
        <w:rPr>
          <w:sz w:val="24"/>
          <w:szCs w:val="24"/>
        </w:rPr>
      </w:pPr>
      <w:r>
        <w:rPr>
          <w:sz w:val="24"/>
          <w:szCs w:val="24"/>
        </w:rPr>
        <w:t xml:space="preserve">O número </w:t>
      </w:r>
      <w:r>
        <w:rPr>
          <w:position w:val="-6"/>
          <w:sz w:val="24"/>
          <w:szCs w:val="24"/>
          <w:lang w:eastAsia="ar-SA"/>
        </w:rPr>
        <w:object w:dxaOrig="420" w:dyaOrig="360" w14:anchorId="39B4753F">
          <v:shape id="_x0000_i1039" type="#_x0000_t75" style="width:21pt;height:18pt" o:ole="" filled="t">
            <v:fill color2="black"/>
            <v:imagedata r:id="rId22" o:title=""/>
          </v:shape>
          <o:OLEObject Type="Embed" ProgID="Equation.3" ShapeID="_x0000_i1039" DrawAspect="Content" ObjectID="_1714339160" r:id="rId30"/>
        </w:object>
      </w:r>
      <w:r>
        <w:rPr>
          <w:sz w:val="24"/>
          <w:szCs w:val="24"/>
        </w:rPr>
        <w:t xml:space="preserve"> depende do nível de confiança (1 - </w:t>
      </w:r>
      <w:r>
        <w:rPr>
          <w:i/>
          <w:sz w:val="24"/>
          <w:szCs w:val="24"/>
        </w:rPr>
        <w:t>α</w:t>
      </w:r>
      <w:r>
        <w:rPr>
          <w:sz w:val="24"/>
          <w:szCs w:val="24"/>
        </w:rPr>
        <w:t>) e é calculado a partir da integração da função densidade de probabilidade da distribuição normal,</w:t>
      </w:r>
    </w:p>
    <w:p w14:paraId="1FB017B2"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29"/>
          <w:sz w:val="24"/>
          <w:szCs w:val="24"/>
        </w:rPr>
        <w:object w:dxaOrig="1560" w:dyaOrig="780" w14:anchorId="5B02C668">
          <v:shape id="_x0000_i1040" type="#_x0000_t75" style="width:78pt;height:39pt" o:ole="" filled="t">
            <v:fill color2="black"/>
            <v:imagedata r:id="rId31" o:title=""/>
          </v:shape>
          <o:OLEObject Type="Embed" ProgID="Equation.3" ShapeID="_x0000_i1040" DrawAspect="Content" ObjectID="_1714339161" r:id="rId32"/>
        </w:object>
      </w:r>
      <w:r>
        <w:rPr>
          <w:rFonts w:ascii="Times New Roman" w:hAnsi="Times New Roman"/>
          <w:sz w:val="24"/>
          <w:szCs w:val="24"/>
        </w:rPr>
        <w:t>,</w:t>
      </w:r>
      <w:r>
        <w:rPr>
          <w:rFonts w:ascii="Times New Roman" w:hAnsi="Times New Roman"/>
          <w:sz w:val="24"/>
          <w:szCs w:val="24"/>
        </w:rPr>
        <w:tab/>
        <w:t>(3)</w:t>
      </w:r>
    </w:p>
    <w:p w14:paraId="4189BA77" w14:textId="77777777" w:rsidR="00C831CA" w:rsidRDefault="00C831CA" w:rsidP="00C831CA">
      <w:pPr>
        <w:jc w:val="both"/>
        <w:rPr>
          <w:sz w:val="24"/>
          <w:szCs w:val="24"/>
        </w:rPr>
      </w:pPr>
      <w:r>
        <w:rPr>
          <w:sz w:val="24"/>
          <w:szCs w:val="24"/>
        </w:rPr>
        <w:t xml:space="preserve">onde:  </w:t>
      </w:r>
      <w:proofErr w:type="gramStart"/>
      <w:r>
        <w:rPr>
          <w:i/>
          <w:sz w:val="24"/>
          <w:szCs w:val="24"/>
        </w:rPr>
        <w:t>N</w:t>
      </w:r>
      <w:r>
        <w:rPr>
          <w:sz w:val="24"/>
          <w:szCs w:val="24"/>
        </w:rPr>
        <w:t>(</w:t>
      </w:r>
      <w:proofErr w:type="gramEnd"/>
      <w:r>
        <w:rPr>
          <w:sz w:val="24"/>
          <w:szCs w:val="24"/>
        </w:rPr>
        <w:t>0,1) é a função densidade de probabilidade normal com média 0 e desvio-padrão 1.</w:t>
      </w:r>
    </w:p>
    <w:p w14:paraId="5BC346EA" w14:textId="77777777" w:rsidR="00C831CA" w:rsidRDefault="00C831CA" w:rsidP="00C831CA">
      <w:pPr>
        <w:jc w:val="both"/>
        <w:rPr>
          <w:sz w:val="24"/>
          <w:szCs w:val="24"/>
        </w:rPr>
      </w:pPr>
      <w:r>
        <w:rPr>
          <w:sz w:val="24"/>
          <w:szCs w:val="24"/>
        </w:rPr>
        <w:t xml:space="preserve">A Figura 4 apresenta alguns valores de </w:t>
      </w:r>
      <w:r>
        <w:rPr>
          <w:position w:val="-6"/>
          <w:sz w:val="24"/>
          <w:szCs w:val="24"/>
          <w:lang w:eastAsia="ar-SA"/>
        </w:rPr>
        <w:object w:dxaOrig="420" w:dyaOrig="360" w14:anchorId="1482596D">
          <v:shape id="_x0000_i1041" type="#_x0000_t75" style="width:21pt;height:18pt" o:ole="" filled="t">
            <v:fill color2="black"/>
            <v:imagedata r:id="rId22" o:title=""/>
          </v:shape>
          <o:OLEObject Type="Embed" ProgID="Equation.3" ShapeID="_x0000_i1041" DrawAspect="Content" ObjectID="_1714339162" r:id="rId33"/>
        </w:object>
      </w:r>
      <w:r>
        <w:rPr>
          <w:sz w:val="24"/>
          <w:szCs w:val="24"/>
        </w:rPr>
        <w:t xml:space="preserve"> para os níveis de confiança mais adotados na prática.</w:t>
      </w:r>
    </w:p>
    <w:p w14:paraId="6D84571F" w14:textId="77777777" w:rsidR="00C831CA" w:rsidRDefault="00C831CA" w:rsidP="00C831CA">
      <w:pPr>
        <w:jc w:val="both"/>
        <w:rPr>
          <w:sz w:val="24"/>
          <w:szCs w:val="24"/>
        </w:rPr>
      </w:pPr>
    </w:p>
    <w:p w14:paraId="090F317B" w14:textId="77777777" w:rsidR="00C831CA" w:rsidRDefault="00C831CA" w:rsidP="00C831CA">
      <w:pPr>
        <w:jc w:val="both"/>
        <w:rPr>
          <w:sz w:val="24"/>
          <w:szCs w:val="24"/>
        </w:rPr>
      </w:pPr>
    </w:p>
    <w:tbl>
      <w:tblPr>
        <w:tblW w:w="0" w:type="auto"/>
        <w:jc w:val="center"/>
        <w:tblLayout w:type="fixed"/>
        <w:tblCellMar>
          <w:left w:w="70" w:type="dxa"/>
          <w:right w:w="70" w:type="dxa"/>
        </w:tblCellMar>
        <w:tblLook w:val="04A0" w:firstRow="1" w:lastRow="0" w:firstColumn="1" w:lastColumn="0" w:noHBand="0" w:noVBand="1"/>
      </w:tblPr>
      <w:tblGrid>
        <w:gridCol w:w="637"/>
        <w:gridCol w:w="993"/>
        <w:gridCol w:w="850"/>
        <w:gridCol w:w="851"/>
        <w:gridCol w:w="850"/>
        <w:gridCol w:w="850"/>
      </w:tblGrid>
      <w:tr w:rsidR="00C831CA" w14:paraId="600071BD" w14:textId="77777777" w:rsidTr="00C831CA">
        <w:trPr>
          <w:jc w:val="center"/>
        </w:trPr>
        <w:tc>
          <w:tcPr>
            <w:tcW w:w="637" w:type="dxa"/>
            <w:tcBorders>
              <w:top w:val="single" w:sz="8" w:space="0" w:color="008000"/>
              <w:left w:val="nil"/>
              <w:bottom w:val="single" w:sz="4" w:space="0" w:color="008000"/>
              <w:right w:val="nil"/>
            </w:tcBorders>
            <w:vAlign w:val="center"/>
            <w:hideMark/>
          </w:tcPr>
          <w:p w14:paraId="26EA00D8" w14:textId="77777777" w:rsidR="00C831CA" w:rsidRDefault="00C831CA">
            <w:pPr>
              <w:keepNext/>
              <w:snapToGrid w:val="0"/>
              <w:spacing w:line="256" w:lineRule="auto"/>
              <w:jc w:val="center"/>
              <w:rPr>
                <w:i/>
                <w:sz w:val="24"/>
                <w:szCs w:val="24"/>
                <w:lang w:eastAsia="en-US"/>
              </w:rPr>
            </w:pPr>
            <w:r>
              <w:rPr>
                <w:sz w:val="24"/>
                <w:szCs w:val="24"/>
                <w:lang w:eastAsia="en-US"/>
              </w:rPr>
              <w:t>1-</w:t>
            </w:r>
            <w:r>
              <w:rPr>
                <w:i/>
                <w:sz w:val="24"/>
                <w:szCs w:val="24"/>
                <w:lang w:eastAsia="en-US"/>
              </w:rPr>
              <w:t>α</w:t>
            </w:r>
          </w:p>
        </w:tc>
        <w:tc>
          <w:tcPr>
            <w:tcW w:w="993" w:type="dxa"/>
            <w:tcBorders>
              <w:top w:val="single" w:sz="8" w:space="0" w:color="008000"/>
              <w:left w:val="nil"/>
              <w:bottom w:val="single" w:sz="4" w:space="0" w:color="008000"/>
              <w:right w:val="nil"/>
            </w:tcBorders>
            <w:vAlign w:val="center"/>
            <w:hideMark/>
          </w:tcPr>
          <w:p w14:paraId="7A2F2B0B" w14:textId="77777777" w:rsidR="00C831CA" w:rsidRDefault="00C831CA">
            <w:pPr>
              <w:keepNext/>
              <w:snapToGrid w:val="0"/>
              <w:spacing w:line="256" w:lineRule="auto"/>
              <w:jc w:val="center"/>
              <w:rPr>
                <w:sz w:val="24"/>
                <w:szCs w:val="24"/>
                <w:lang w:eastAsia="en-US"/>
              </w:rPr>
            </w:pPr>
            <w:r>
              <w:rPr>
                <w:sz w:val="24"/>
                <w:szCs w:val="24"/>
                <w:lang w:eastAsia="en-US"/>
              </w:rPr>
              <w:t>99,5%</w:t>
            </w:r>
          </w:p>
        </w:tc>
        <w:tc>
          <w:tcPr>
            <w:tcW w:w="850" w:type="dxa"/>
            <w:tcBorders>
              <w:top w:val="single" w:sz="8" w:space="0" w:color="008000"/>
              <w:left w:val="nil"/>
              <w:bottom w:val="single" w:sz="4" w:space="0" w:color="008000"/>
              <w:right w:val="nil"/>
            </w:tcBorders>
            <w:vAlign w:val="center"/>
            <w:hideMark/>
          </w:tcPr>
          <w:p w14:paraId="7E933742" w14:textId="77777777" w:rsidR="00C831CA" w:rsidRDefault="00C831CA">
            <w:pPr>
              <w:keepNext/>
              <w:snapToGrid w:val="0"/>
              <w:spacing w:line="256" w:lineRule="auto"/>
              <w:jc w:val="center"/>
              <w:rPr>
                <w:sz w:val="24"/>
                <w:szCs w:val="24"/>
                <w:lang w:eastAsia="en-US"/>
              </w:rPr>
            </w:pPr>
            <w:r>
              <w:rPr>
                <w:sz w:val="24"/>
                <w:szCs w:val="24"/>
                <w:lang w:eastAsia="en-US"/>
              </w:rPr>
              <w:t>99%</w:t>
            </w:r>
          </w:p>
        </w:tc>
        <w:tc>
          <w:tcPr>
            <w:tcW w:w="851" w:type="dxa"/>
            <w:tcBorders>
              <w:top w:val="single" w:sz="8" w:space="0" w:color="008000"/>
              <w:left w:val="nil"/>
              <w:bottom w:val="single" w:sz="4" w:space="0" w:color="008000"/>
              <w:right w:val="nil"/>
            </w:tcBorders>
            <w:vAlign w:val="center"/>
            <w:hideMark/>
          </w:tcPr>
          <w:p w14:paraId="70BBDF53" w14:textId="77777777" w:rsidR="00C831CA" w:rsidRDefault="00C831CA">
            <w:pPr>
              <w:keepNext/>
              <w:snapToGrid w:val="0"/>
              <w:spacing w:line="256" w:lineRule="auto"/>
              <w:jc w:val="center"/>
              <w:rPr>
                <w:sz w:val="24"/>
                <w:szCs w:val="24"/>
                <w:lang w:eastAsia="en-US"/>
              </w:rPr>
            </w:pPr>
            <w:r>
              <w:rPr>
                <w:sz w:val="24"/>
                <w:szCs w:val="24"/>
                <w:lang w:eastAsia="en-US"/>
              </w:rPr>
              <w:t>97,5%</w:t>
            </w:r>
          </w:p>
        </w:tc>
        <w:tc>
          <w:tcPr>
            <w:tcW w:w="850" w:type="dxa"/>
            <w:tcBorders>
              <w:top w:val="single" w:sz="8" w:space="0" w:color="008000"/>
              <w:left w:val="nil"/>
              <w:bottom w:val="single" w:sz="4" w:space="0" w:color="008000"/>
              <w:right w:val="nil"/>
            </w:tcBorders>
            <w:vAlign w:val="center"/>
            <w:hideMark/>
          </w:tcPr>
          <w:p w14:paraId="72737932" w14:textId="77777777" w:rsidR="00C831CA" w:rsidRDefault="00C831CA">
            <w:pPr>
              <w:keepNext/>
              <w:snapToGrid w:val="0"/>
              <w:spacing w:line="256" w:lineRule="auto"/>
              <w:jc w:val="center"/>
              <w:rPr>
                <w:sz w:val="24"/>
                <w:szCs w:val="24"/>
                <w:lang w:eastAsia="en-US"/>
              </w:rPr>
            </w:pPr>
            <w:r>
              <w:rPr>
                <w:sz w:val="24"/>
                <w:szCs w:val="24"/>
                <w:lang w:eastAsia="en-US"/>
              </w:rPr>
              <w:t>95%</w:t>
            </w:r>
          </w:p>
        </w:tc>
        <w:tc>
          <w:tcPr>
            <w:tcW w:w="850" w:type="dxa"/>
            <w:tcBorders>
              <w:top w:val="single" w:sz="8" w:space="0" w:color="008000"/>
              <w:left w:val="nil"/>
              <w:bottom w:val="single" w:sz="4" w:space="0" w:color="008000"/>
              <w:right w:val="nil"/>
            </w:tcBorders>
            <w:vAlign w:val="center"/>
            <w:hideMark/>
          </w:tcPr>
          <w:p w14:paraId="52FD71B8" w14:textId="77777777" w:rsidR="00C831CA" w:rsidRDefault="00C831CA">
            <w:pPr>
              <w:keepNext/>
              <w:snapToGrid w:val="0"/>
              <w:spacing w:line="256" w:lineRule="auto"/>
              <w:jc w:val="center"/>
              <w:rPr>
                <w:sz w:val="24"/>
                <w:szCs w:val="24"/>
                <w:lang w:eastAsia="en-US"/>
              </w:rPr>
            </w:pPr>
            <w:r>
              <w:rPr>
                <w:sz w:val="24"/>
                <w:szCs w:val="24"/>
                <w:lang w:eastAsia="en-US"/>
              </w:rPr>
              <w:t>90%</w:t>
            </w:r>
          </w:p>
        </w:tc>
      </w:tr>
      <w:tr w:rsidR="00C831CA" w14:paraId="29898FEA" w14:textId="77777777" w:rsidTr="00C831CA">
        <w:trPr>
          <w:jc w:val="center"/>
        </w:trPr>
        <w:tc>
          <w:tcPr>
            <w:tcW w:w="637" w:type="dxa"/>
            <w:tcBorders>
              <w:top w:val="nil"/>
              <w:left w:val="nil"/>
              <w:bottom w:val="single" w:sz="8" w:space="0" w:color="008000"/>
              <w:right w:val="nil"/>
            </w:tcBorders>
            <w:vAlign w:val="center"/>
            <w:hideMark/>
          </w:tcPr>
          <w:p w14:paraId="0C184DF5" w14:textId="77777777" w:rsidR="00C831CA" w:rsidRDefault="00C831CA">
            <w:pPr>
              <w:keepNext/>
              <w:snapToGrid w:val="0"/>
              <w:spacing w:line="256" w:lineRule="auto"/>
              <w:jc w:val="center"/>
              <w:rPr>
                <w:sz w:val="24"/>
                <w:szCs w:val="24"/>
                <w:lang w:eastAsia="en-US"/>
              </w:rPr>
            </w:pPr>
            <w:r>
              <w:rPr>
                <w:sz w:val="24"/>
                <w:szCs w:val="24"/>
                <w:lang w:eastAsia="ar-SA"/>
              </w:rPr>
              <w:object w:dxaOrig="420" w:dyaOrig="360" w14:anchorId="67AD75AC">
                <v:shape id="_x0000_i1042" type="#_x0000_t75" style="width:21pt;height:18pt" o:ole="" filled="t">
                  <v:fill color2="black"/>
                  <v:imagedata r:id="rId22" o:title=""/>
                </v:shape>
                <o:OLEObject Type="Embed" ProgID="Equation.3" ShapeID="_x0000_i1042" DrawAspect="Content" ObjectID="_1714339163" r:id="rId34"/>
              </w:object>
            </w:r>
          </w:p>
        </w:tc>
        <w:tc>
          <w:tcPr>
            <w:tcW w:w="993" w:type="dxa"/>
            <w:tcBorders>
              <w:top w:val="nil"/>
              <w:left w:val="nil"/>
              <w:bottom w:val="single" w:sz="8" w:space="0" w:color="008000"/>
              <w:right w:val="nil"/>
            </w:tcBorders>
            <w:vAlign w:val="center"/>
            <w:hideMark/>
          </w:tcPr>
          <w:p w14:paraId="1B7371DE" w14:textId="77777777" w:rsidR="00C831CA" w:rsidRDefault="00C831CA">
            <w:pPr>
              <w:keepNext/>
              <w:snapToGrid w:val="0"/>
              <w:spacing w:line="256" w:lineRule="auto"/>
              <w:jc w:val="center"/>
              <w:rPr>
                <w:sz w:val="24"/>
                <w:szCs w:val="24"/>
                <w:lang w:eastAsia="en-US"/>
              </w:rPr>
            </w:pPr>
            <w:r>
              <w:rPr>
                <w:sz w:val="24"/>
                <w:szCs w:val="24"/>
                <w:lang w:eastAsia="en-US"/>
              </w:rPr>
              <w:t>2,58</w:t>
            </w:r>
          </w:p>
        </w:tc>
        <w:tc>
          <w:tcPr>
            <w:tcW w:w="850" w:type="dxa"/>
            <w:tcBorders>
              <w:top w:val="nil"/>
              <w:left w:val="nil"/>
              <w:bottom w:val="single" w:sz="8" w:space="0" w:color="008000"/>
              <w:right w:val="nil"/>
            </w:tcBorders>
            <w:vAlign w:val="center"/>
            <w:hideMark/>
          </w:tcPr>
          <w:p w14:paraId="36E41E87" w14:textId="77777777" w:rsidR="00C831CA" w:rsidRDefault="00C831CA">
            <w:pPr>
              <w:keepNext/>
              <w:snapToGrid w:val="0"/>
              <w:spacing w:line="256" w:lineRule="auto"/>
              <w:jc w:val="center"/>
              <w:rPr>
                <w:sz w:val="24"/>
                <w:szCs w:val="24"/>
                <w:lang w:eastAsia="en-US"/>
              </w:rPr>
            </w:pPr>
            <w:r>
              <w:rPr>
                <w:sz w:val="24"/>
                <w:szCs w:val="24"/>
                <w:lang w:eastAsia="en-US"/>
              </w:rPr>
              <w:t>2,33</w:t>
            </w:r>
          </w:p>
        </w:tc>
        <w:tc>
          <w:tcPr>
            <w:tcW w:w="851" w:type="dxa"/>
            <w:tcBorders>
              <w:top w:val="nil"/>
              <w:left w:val="nil"/>
              <w:bottom w:val="single" w:sz="8" w:space="0" w:color="008000"/>
              <w:right w:val="nil"/>
            </w:tcBorders>
            <w:vAlign w:val="center"/>
            <w:hideMark/>
          </w:tcPr>
          <w:p w14:paraId="6873E274" w14:textId="77777777" w:rsidR="00C831CA" w:rsidRDefault="00C831CA">
            <w:pPr>
              <w:keepNext/>
              <w:snapToGrid w:val="0"/>
              <w:spacing w:line="256" w:lineRule="auto"/>
              <w:jc w:val="center"/>
              <w:rPr>
                <w:sz w:val="24"/>
                <w:szCs w:val="24"/>
                <w:lang w:eastAsia="en-US"/>
              </w:rPr>
            </w:pPr>
            <w:r>
              <w:rPr>
                <w:sz w:val="24"/>
                <w:szCs w:val="24"/>
                <w:lang w:eastAsia="en-US"/>
              </w:rPr>
              <w:t>1,96</w:t>
            </w:r>
          </w:p>
        </w:tc>
        <w:tc>
          <w:tcPr>
            <w:tcW w:w="850" w:type="dxa"/>
            <w:tcBorders>
              <w:top w:val="nil"/>
              <w:left w:val="nil"/>
              <w:bottom w:val="single" w:sz="8" w:space="0" w:color="008000"/>
              <w:right w:val="nil"/>
            </w:tcBorders>
            <w:vAlign w:val="center"/>
            <w:hideMark/>
          </w:tcPr>
          <w:p w14:paraId="40C36BEF" w14:textId="77777777" w:rsidR="00C831CA" w:rsidRDefault="00C831CA">
            <w:pPr>
              <w:keepNext/>
              <w:snapToGrid w:val="0"/>
              <w:spacing w:line="256" w:lineRule="auto"/>
              <w:jc w:val="center"/>
              <w:rPr>
                <w:sz w:val="24"/>
                <w:szCs w:val="24"/>
                <w:lang w:eastAsia="en-US"/>
              </w:rPr>
            </w:pPr>
            <w:r>
              <w:rPr>
                <w:sz w:val="24"/>
                <w:szCs w:val="24"/>
                <w:lang w:eastAsia="en-US"/>
              </w:rPr>
              <w:t>1,65</w:t>
            </w:r>
          </w:p>
        </w:tc>
        <w:tc>
          <w:tcPr>
            <w:tcW w:w="850" w:type="dxa"/>
            <w:tcBorders>
              <w:top w:val="nil"/>
              <w:left w:val="nil"/>
              <w:bottom w:val="single" w:sz="8" w:space="0" w:color="008000"/>
              <w:right w:val="nil"/>
            </w:tcBorders>
            <w:vAlign w:val="center"/>
            <w:hideMark/>
          </w:tcPr>
          <w:p w14:paraId="241089F7" w14:textId="77777777" w:rsidR="00C831CA" w:rsidRDefault="00C831CA">
            <w:pPr>
              <w:keepNext/>
              <w:snapToGrid w:val="0"/>
              <w:spacing w:line="256" w:lineRule="auto"/>
              <w:jc w:val="center"/>
              <w:rPr>
                <w:sz w:val="24"/>
                <w:szCs w:val="24"/>
                <w:lang w:eastAsia="en-US"/>
              </w:rPr>
            </w:pPr>
            <w:r>
              <w:rPr>
                <w:sz w:val="24"/>
                <w:szCs w:val="24"/>
                <w:lang w:eastAsia="en-US"/>
              </w:rPr>
              <w:t>1,28</w:t>
            </w:r>
          </w:p>
        </w:tc>
      </w:tr>
    </w:tbl>
    <w:p w14:paraId="1D62CCEA" w14:textId="7457AF9C" w:rsidR="00C831CA" w:rsidRDefault="00C831CA" w:rsidP="00C831CA">
      <w:pPr>
        <w:pStyle w:val="LegendaFigura"/>
        <w:spacing w:line="240" w:lineRule="auto"/>
        <w:rPr>
          <w:rFonts w:ascii="Times New Roman" w:hAnsi="Times New Roman"/>
          <w:i/>
          <w:sz w:val="24"/>
          <w:szCs w:val="24"/>
        </w:rPr>
      </w:pPr>
      <w:r>
        <w:rPr>
          <w:rFonts w:ascii="Times New Roman" w:hAnsi="Times New Roman"/>
          <w:b/>
          <w:sz w:val="24"/>
          <w:szCs w:val="24"/>
        </w:rPr>
        <w:t xml:space="preserve">Figura </w:t>
      </w:r>
      <w:r>
        <w:rPr>
          <w:rFonts w:ascii="Times New Roman" w:hAnsi="Times New Roman"/>
          <w:b/>
          <w:sz w:val="24"/>
          <w:szCs w:val="24"/>
        </w:rPr>
        <w:fldChar w:fldCharType="begin"/>
      </w:r>
      <w:r>
        <w:rPr>
          <w:rFonts w:ascii="Times New Roman" w:hAnsi="Times New Roman"/>
          <w:b/>
          <w:sz w:val="24"/>
          <w:szCs w:val="24"/>
        </w:rPr>
        <w:instrText xml:space="preserve"> SEQ "Figura_2." \*Arabic </w:instrText>
      </w:r>
      <w:r>
        <w:rPr>
          <w:rFonts w:ascii="Times New Roman" w:hAnsi="Times New Roman"/>
          <w:b/>
          <w:sz w:val="24"/>
          <w:szCs w:val="24"/>
        </w:rPr>
        <w:fldChar w:fldCharType="separate"/>
      </w:r>
      <w:r>
        <w:rPr>
          <w:rFonts w:ascii="Times New Roman" w:hAnsi="Times New Roman"/>
          <w:b/>
          <w:noProof/>
          <w:sz w:val="24"/>
          <w:szCs w:val="24"/>
        </w:rPr>
        <w:t>2</w:t>
      </w:r>
      <w:r>
        <w:rPr>
          <w:rFonts w:ascii="Times New Roman" w:hAnsi="Times New Roman"/>
          <w:b/>
          <w:sz w:val="24"/>
          <w:szCs w:val="24"/>
        </w:rPr>
        <w:fldChar w:fldCharType="end"/>
      </w:r>
      <w:r>
        <w:rPr>
          <w:rFonts w:ascii="Times New Roman" w:hAnsi="Times New Roman"/>
          <w:sz w:val="24"/>
          <w:szCs w:val="24"/>
        </w:rPr>
        <w:t xml:space="preserve">– </w:t>
      </w:r>
      <w:r>
        <w:rPr>
          <w:rFonts w:ascii="Times New Roman" w:hAnsi="Times New Roman"/>
          <w:i/>
          <w:sz w:val="24"/>
          <w:szCs w:val="24"/>
        </w:rPr>
        <w:t>Valores de z</w:t>
      </w:r>
      <w:r>
        <w:rPr>
          <w:rFonts w:ascii="Times New Roman" w:hAnsi="Times New Roman"/>
          <w:i/>
          <w:sz w:val="24"/>
          <w:szCs w:val="24"/>
          <w:vertAlign w:val="subscript"/>
        </w:rPr>
        <w:t xml:space="preserve">1  </w:t>
      </w:r>
      <w:r>
        <w:rPr>
          <w:rFonts w:ascii="Times New Roman" w:hAnsi="Times New Roman"/>
          <w:i/>
          <w:sz w:val="24"/>
          <w:szCs w:val="24"/>
        </w:rPr>
        <w:t xml:space="preserve"> para uma distribuição normal.</w:t>
      </w:r>
    </w:p>
    <w:p w14:paraId="725BFCBB" w14:textId="77777777" w:rsidR="00C831CA" w:rsidRDefault="00C831CA" w:rsidP="00C831CA">
      <w:pPr>
        <w:jc w:val="both"/>
        <w:rPr>
          <w:sz w:val="24"/>
          <w:szCs w:val="24"/>
        </w:rPr>
      </w:pPr>
    </w:p>
    <w:p w14:paraId="4DFB75F6" w14:textId="77777777" w:rsidR="00C831CA" w:rsidRDefault="00C831CA" w:rsidP="00C831CA">
      <w:pPr>
        <w:jc w:val="both"/>
        <w:rPr>
          <w:sz w:val="24"/>
          <w:szCs w:val="24"/>
        </w:rPr>
      </w:pPr>
      <w:r>
        <w:rPr>
          <w:sz w:val="24"/>
          <w:szCs w:val="24"/>
        </w:rPr>
        <w:t xml:space="preserve">Para um horizonte de tempo </w:t>
      </w:r>
      <w:r>
        <w:rPr>
          <w:i/>
          <w:sz w:val="24"/>
          <w:szCs w:val="24"/>
        </w:rPr>
        <w:t>t</w:t>
      </w:r>
      <w:r>
        <w:rPr>
          <w:sz w:val="24"/>
          <w:szCs w:val="24"/>
        </w:rPr>
        <w:t xml:space="preserve">, diferente de um dia, o </w:t>
      </w:r>
      <w:proofErr w:type="spellStart"/>
      <w:r>
        <w:rPr>
          <w:i/>
          <w:sz w:val="24"/>
          <w:szCs w:val="24"/>
        </w:rPr>
        <w:t>VaR</w:t>
      </w:r>
      <w:proofErr w:type="spellEnd"/>
      <w:r>
        <w:rPr>
          <w:sz w:val="24"/>
          <w:szCs w:val="24"/>
        </w:rPr>
        <w:t xml:space="preserve"> pode ser obtido de</w:t>
      </w:r>
    </w:p>
    <w:p w14:paraId="42E94B17"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10"/>
          <w:sz w:val="24"/>
          <w:szCs w:val="24"/>
        </w:rPr>
        <w:object w:dxaOrig="2445" w:dyaOrig="405" w14:anchorId="048847D7">
          <v:shape id="_x0000_i1043" type="#_x0000_t75" style="width:122.25pt;height:20.25pt" o:ole="" filled="t">
            <v:fill color2="black"/>
            <v:imagedata r:id="rId35" o:title=""/>
          </v:shape>
          <o:OLEObject Type="Embed" ProgID="Equation.3" ShapeID="_x0000_i1043" DrawAspect="Content" ObjectID="_1714339164" r:id="rId36"/>
        </w:object>
      </w:r>
      <w:r>
        <w:rPr>
          <w:rFonts w:ascii="Times New Roman" w:hAnsi="Times New Roman"/>
          <w:sz w:val="24"/>
          <w:szCs w:val="24"/>
        </w:rPr>
        <w:t>.</w:t>
      </w:r>
      <w:r>
        <w:rPr>
          <w:rFonts w:ascii="Times New Roman" w:hAnsi="Times New Roman"/>
          <w:sz w:val="24"/>
          <w:szCs w:val="24"/>
        </w:rPr>
        <w:tab/>
        <w:t>(4)</w:t>
      </w:r>
    </w:p>
    <w:p w14:paraId="0AF27A57" w14:textId="77777777" w:rsidR="00C831CA" w:rsidRDefault="00C831CA" w:rsidP="00C831CA">
      <w:pPr>
        <w:ind w:firstLine="708"/>
        <w:jc w:val="both"/>
        <w:rPr>
          <w:sz w:val="24"/>
          <w:szCs w:val="24"/>
        </w:rPr>
      </w:pPr>
      <w:r>
        <w:rPr>
          <w:sz w:val="24"/>
          <w:szCs w:val="24"/>
        </w:rPr>
        <w:t xml:space="preserve">Vejamos um exemplo de cálculo do </w:t>
      </w:r>
      <w:proofErr w:type="spellStart"/>
      <w:r>
        <w:rPr>
          <w:i/>
          <w:sz w:val="24"/>
          <w:szCs w:val="24"/>
        </w:rPr>
        <w:t>VaR</w:t>
      </w:r>
      <w:proofErr w:type="spellEnd"/>
      <w:r>
        <w:rPr>
          <w:sz w:val="24"/>
          <w:szCs w:val="24"/>
        </w:rPr>
        <w:t xml:space="preserve"> para uma carteira formada por uma única ação. Imagine que hoje fosse o dia 29/05/06 e estivéssemos, ao final desse dia, interessados em calcular o </w:t>
      </w:r>
      <w:proofErr w:type="spellStart"/>
      <w:r>
        <w:rPr>
          <w:i/>
          <w:sz w:val="24"/>
          <w:szCs w:val="24"/>
        </w:rPr>
        <w:t>VaR</w:t>
      </w:r>
      <w:proofErr w:type="spellEnd"/>
      <w:r>
        <w:rPr>
          <w:sz w:val="24"/>
          <w:szCs w:val="24"/>
        </w:rPr>
        <w:t xml:space="preserve"> de uma posição de 10 mil ações de Petrobras PN para o dia 30/06/06 com um nível de confiança de 95%.</w:t>
      </w:r>
    </w:p>
    <w:p w14:paraId="134C0BF0" w14:textId="77777777" w:rsidR="00C831CA" w:rsidRDefault="00C831CA" w:rsidP="00C831CA">
      <w:pPr>
        <w:ind w:firstLine="708"/>
        <w:jc w:val="both"/>
        <w:rPr>
          <w:sz w:val="24"/>
          <w:szCs w:val="24"/>
        </w:rPr>
      </w:pPr>
      <w:r>
        <w:rPr>
          <w:sz w:val="24"/>
          <w:szCs w:val="24"/>
        </w:rPr>
        <w:t xml:space="preserve">As ações de Petrobras PN são papéis negociados na Bovespa de excelente liquidez. Portanto, marcar a mercado essa carteira (isto é, obter </w:t>
      </w:r>
      <w:r>
        <w:rPr>
          <w:i/>
          <w:sz w:val="24"/>
          <w:szCs w:val="24"/>
        </w:rPr>
        <w:t>X</w:t>
      </w:r>
      <w:r>
        <w:rPr>
          <w:sz w:val="24"/>
          <w:szCs w:val="24"/>
          <w:vertAlign w:val="subscript"/>
        </w:rPr>
        <w:t>0</w:t>
      </w:r>
      <w:r>
        <w:rPr>
          <w:sz w:val="24"/>
          <w:szCs w:val="24"/>
        </w:rPr>
        <w:t xml:space="preserve"> para essa carteira) não é problema: basta observar a cotação de fechamento da ação em 29/05/06 e multiplicar pela quantidade de ações na carteira. Para estimar a volatilidade (e também a média) dos retornos de Petrobras PN, podemos utilizar um procedimento conhecido como média móvel simples. Esse método consiste em fixar uma janela temporal e estimar a volatilidade usando como dados amostrais os retornos observados nesse período. Considere que, após analisarmos os retornos das ações da Petrobrás nos últimos 60 dias, obtemos os seguintes valores para desvio-padrão e média, respectivamente: σ= 3,027% e µ = 0,015%. Como </w:t>
      </w:r>
      <w:r>
        <w:rPr>
          <w:position w:val="-6"/>
          <w:sz w:val="24"/>
          <w:szCs w:val="24"/>
          <w:lang w:eastAsia="ar-SA"/>
        </w:rPr>
        <w:object w:dxaOrig="3255" w:dyaOrig="360" w14:anchorId="7B38BC59">
          <v:shape id="_x0000_i1044" type="#_x0000_t75" style="width:162.75pt;height:18pt" o:ole="" filled="t">
            <v:fill color2="black"/>
            <v:imagedata r:id="rId37" o:title=""/>
          </v:shape>
          <o:OLEObject Type="Embed" ProgID="Equation.3" ShapeID="_x0000_i1044" DrawAspect="Content" ObjectID="_1714339165" r:id="rId38"/>
        </w:object>
      </w:r>
      <w:r>
        <w:rPr>
          <w:sz w:val="24"/>
          <w:szCs w:val="24"/>
        </w:rPr>
        <w:t>,  temos</w:t>
      </w:r>
    </w:p>
    <w:p w14:paraId="6772AFBB" w14:textId="77777777" w:rsidR="00C831CA" w:rsidRDefault="00C831CA" w:rsidP="00C831CA">
      <w:pPr>
        <w:jc w:val="both"/>
        <w:rPr>
          <w:sz w:val="24"/>
          <w:szCs w:val="24"/>
        </w:rPr>
      </w:pPr>
    </w:p>
    <w:p w14:paraId="35CC85F5"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7"/>
          <w:sz w:val="24"/>
          <w:szCs w:val="24"/>
        </w:rPr>
        <w:object w:dxaOrig="5325" w:dyaOrig="345" w14:anchorId="4A9E99D8">
          <v:shape id="_x0000_i1045" type="#_x0000_t75" style="width:266.25pt;height:17.25pt" o:ole="" filled="t">
            <v:fill color2="black"/>
            <v:imagedata r:id="rId39" o:title=""/>
          </v:shape>
          <o:OLEObject Type="Embed" ProgID="Equation.3" ShapeID="_x0000_i1045" DrawAspect="Content" ObjectID="_1714339166" r:id="rId40"/>
        </w:object>
      </w:r>
      <w:r>
        <w:rPr>
          <w:rFonts w:ascii="Times New Roman" w:hAnsi="Times New Roman"/>
          <w:sz w:val="24"/>
          <w:szCs w:val="24"/>
        </w:rPr>
        <w:t xml:space="preserve"> e</w:t>
      </w:r>
    </w:p>
    <w:p w14:paraId="023BC680" w14:textId="77777777" w:rsidR="00C831CA" w:rsidRDefault="00C831CA" w:rsidP="00C831CA">
      <w:pPr>
        <w:pStyle w:val="Equacao"/>
        <w:spacing w:line="240" w:lineRule="auto"/>
        <w:rPr>
          <w:rFonts w:ascii="Times New Roman" w:hAnsi="Times New Roman"/>
          <w:sz w:val="24"/>
          <w:szCs w:val="24"/>
        </w:rPr>
      </w:pPr>
    </w:p>
    <w:p w14:paraId="4A3ABC58"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7"/>
          <w:sz w:val="24"/>
          <w:szCs w:val="24"/>
        </w:rPr>
        <w:object w:dxaOrig="4275" w:dyaOrig="345" w14:anchorId="4180C285">
          <v:shape id="_x0000_i1046" type="#_x0000_t75" style="width:213.75pt;height:17.25pt" o:ole="" filled="t">
            <v:fill color2="black"/>
            <v:imagedata r:id="rId41" o:title=""/>
          </v:shape>
          <o:OLEObject Type="Embed" ProgID="Equation.3" ShapeID="_x0000_i1046" DrawAspect="Content" ObjectID="_1714339167" r:id="rId42"/>
        </w:object>
      </w:r>
    </w:p>
    <w:p w14:paraId="4A585D61" w14:textId="77777777" w:rsidR="00C831CA" w:rsidRDefault="00C831CA" w:rsidP="00C831CA">
      <w:pPr>
        <w:pStyle w:val="Equacao"/>
        <w:spacing w:line="240" w:lineRule="auto"/>
        <w:rPr>
          <w:rFonts w:ascii="Times New Roman" w:hAnsi="Times New Roman"/>
          <w:sz w:val="24"/>
          <w:szCs w:val="24"/>
        </w:rPr>
      </w:pPr>
    </w:p>
    <w:p w14:paraId="3B0321D0" w14:textId="77777777" w:rsidR="00C831CA" w:rsidRDefault="00C831CA" w:rsidP="00C831CA">
      <w:pPr>
        <w:jc w:val="both"/>
        <w:rPr>
          <w:sz w:val="24"/>
          <w:szCs w:val="24"/>
        </w:rPr>
      </w:pPr>
      <w:r>
        <w:rPr>
          <w:sz w:val="24"/>
          <w:szCs w:val="24"/>
        </w:rPr>
        <w:t xml:space="preserve">Onde </w:t>
      </w:r>
      <w:proofErr w:type="spellStart"/>
      <w:r>
        <w:rPr>
          <w:i/>
          <w:sz w:val="24"/>
          <w:szCs w:val="24"/>
        </w:rPr>
        <w:t>VaR</w:t>
      </w:r>
      <w:proofErr w:type="spellEnd"/>
      <w:r>
        <w:rPr>
          <w:i/>
          <w:sz w:val="24"/>
          <w:szCs w:val="24"/>
          <w:vertAlign w:val="subscript"/>
        </w:rPr>
        <w:t xml:space="preserve"> A</w:t>
      </w:r>
      <w:r>
        <w:rPr>
          <w:sz w:val="24"/>
          <w:szCs w:val="24"/>
        </w:rPr>
        <w:t xml:space="preserve"> e </w:t>
      </w:r>
      <w:proofErr w:type="spellStart"/>
      <w:r>
        <w:rPr>
          <w:i/>
          <w:sz w:val="24"/>
          <w:szCs w:val="24"/>
        </w:rPr>
        <w:t>VaR</w:t>
      </w:r>
      <w:proofErr w:type="spellEnd"/>
      <w:r>
        <w:rPr>
          <w:i/>
          <w:sz w:val="24"/>
          <w:szCs w:val="24"/>
          <w:vertAlign w:val="subscript"/>
        </w:rPr>
        <w:t xml:space="preserve"> R</w:t>
      </w:r>
      <w:r>
        <w:rPr>
          <w:sz w:val="24"/>
          <w:szCs w:val="24"/>
        </w:rPr>
        <w:t xml:space="preserve"> são, respectivamente, o </w:t>
      </w:r>
      <w:proofErr w:type="spellStart"/>
      <w:r>
        <w:rPr>
          <w:i/>
          <w:sz w:val="24"/>
          <w:szCs w:val="24"/>
        </w:rPr>
        <w:t>VaR</w:t>
      </w:r>
      <w:proofErr w:type="spellEnd"/>
      <w:r>
        <w:rPr>
          <w:sz w:val="24"/>
          <w:szCs w:val="24"/>
        </w:rPr>
        <w:t xml:space="preserve"> absoluto e relativo. Note que a diferença entre o </w:t>
      </w:r>
      <w:proofErr w:type="spellStart"/>
      <w:r>
        <w:rPr>
          <w:i/>
          <w:sz w:val="24"/>
          <w:szCs w:val="24"/>
        </w:rPr>
        <w:t>VaR</w:t>
      </w:r>
      <w:proofErr w:type="spellEnd"/>
      <w:r>
        <w:rPr>
          <w:sz w:val="24"/>
          <w:szCs w:val="24"/>
        </w:rPr>
        <w:t xml:space="preserve"> absoluto e o relativo é pequena. Isso em geral acontece, conforme observado anteriormente, porque o retorno médio para horizontes de tempo curtos é pequeno. A Figura 5 ilustra graficamente o </w:t>
      </w:r>
      <w:proofErr w:type="spellStart"/>
      <w:r>
        <w:rPr>
          <w:i/>
          <w:sz w:val="24"/>
          <w:szCs w:val="24"/>
        </w:rPr>
        <w:t>VaR</w:t>
      </w:r>
      <w:proofErr w:type="spellEnd"/>
      <w:r>
        <w:rPr>
          <w:sz w:val="24"/>
          <w:szCs w:val="24"/>
        </w:rPr>
        <w:t xml:space="preserve"> de Petrobras para um intervalo de confiança de 95%. Como exercício, o leitor pode calcular o </w:t>
      </w:r>
      <w:proofErr w:type="spellStart"/>
      <w:r>
        <w:rPr>
          <w:i/>
          <w:sz w:val="24"/>
          <w:szCs w:val="24"/>
        </w:rPr>
        <w:t>VaR</w:t>
      </w:r>
      <w:proofErr w:type="spellEnd"/>
      <w:r>
        <w:rPr>
          <w:sz w:val="24"/>
          <w:szCs w:val="24"/>
        </w:rPr>
        <w:t xml:space="preserve"> de um dia para uma posição de 10 milhões de ações da Vale do Rio Doce com um nível de confiança de 95%.</w:t>
      </w:r>
    </w:p>
    <w:p w14:paraId="0234FEA9" w14:textId="0117DC16" w:rsidR="00C831CA" w:rsidRDefault="00C831CA" w:rsidP="00C831CA">
      <w:pPr>
        <w:pStyle w:val="Figura"/>
        <w:keepNext/>
        <w:rPr>
          <w:rFonts w:ascii="Times New Roman" w:hAnsi="Times New Roman"/>
          <w:b/>
          <w:sz w:val="24"/>
          <w:szCs w:val="24"/>
        </w:rPr>
      </w:pPr>
      <w:r>
        <w:rPr>
          <w:rFonts w:ascii="Times New Roman" w:hAnsi="Times New Roman"/>
          <w:noProof/>
          <w:sz w:val="24"/>
          <w:szCs w:val="24"/>
          <w:lang w:eastAsia="pt-BR"/>
        </w:rPr>
        <w:drawing>
          <wp:inline distT="0" distB="0" distL="0" distR="0" wp14:anchorId="03B333FF" wp14:editId="552ED7C1">
            <wp:extent cx="3800475" cy="2305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305050"/>
                    </a:xfrm>
                    <a:prstGeom prst="rect">
                      <a:avLst/>
                    </a:prstGeom>
                    <a:solidFill>
                      <a:srgbClr val="FFFFFF"/>
                    </a:solidFill>
                    <a:ln>
                      <a:noFill/>
                    </a:ln>
                  </pic:spPr>
                </pic:pic>
              </a:graphicData>
            </a:graphic>
          </wp:inline>
        </w:drawing>
      </w:r>
    </w:p>
    <w:p w14:paraId="461A418E" w14:textId="4E052327" w:rsidR="00C831CA" w:rsidRDefault="00C831CA" w:rsidP="00C831CA">
      <w:pPr>
        <w:pStyle w:val="LegendaFigura"/>
        <w:spacing w:line="240" w:lineRule="auto"/>
        <w:rPr>
          <w:rFonts w:ascii="Times New Roman" w:hAnsi="Times New Roman"/>
          <w:sz w:val="24"/>
          <w:szCs w:val="24"/>
        </w:rPr>
      </w:pPr>
      <w:r>
        <w:rPr>
          <w:rFonts w:ascii="Times New Roman" w:hAnsi="Times New Roman"/>
          <w:b/>
          <w:sz w:val="24"/>
          <w:szCs w:val="24"/>
        </w:rPr>
        <w:t xml:space="preserve">Figura </w:t>
      </w:r>
      <w:r>
        <w:rPr>
          <w:rFonts w:ascii="Times New Roman" w:hAnsi="Times New Roman"/>
          <w:b/>
          <w:sz w:val="24"/>
          <w:szCs w:val="24"/>
        </w:rPr>
        <w:fldChar w:fldCharType="begin"/>
      </w:r>
      <w:r>
        <w:rPr>
          <w:rFonts w:ascii="Times New Roman" w:hAnsi="Times New Roman"/>
          <w:b/>
          <w:sz w:val="24"/>
          <w:szCs w:val="24"/>
        </w:rPr>
        <w:instrText xml:space="preserve"> SEQ "Figura_2." \*Arabic </w:instrText>
      </w:r>
      <w:r>
        <w:rPr>
          <w:rFonts w:ascii="Times New Roman" w:hAnsi="Times New Roman"/>
          <w:b/>
          <w:sz w:val="24"/>
          <w:szCs w:val="24"/>
        </w:rPr>
        <w:fldChar w:fldCharType="separate"/>
      </w:r>
      <w:r>
        <w:rPr>
          <w:rFonts w:ascii="Times New Roman" w:hAnsi="Times New Roman"/>
          <w:b/>
          <w:noProof/>
          <w:sz w:val="24"/>
          <w:szCs w:val="24"/>
        </w:rPr>
        <w:t>3</w:t>
      </w:r>
      <w:r>
        <w:rPr>
          <w:rFonts w:ascii="Times New Roman" w:hAnsi="Times New Roman"/>
          <w:b/>
          <w:sz w:val="24"/>
          <w:szCs w:val="24"/>
        </w:rPr>
        <w:fldChar w:fldCharType="end"/>
      </w:r>
      <w:r>
        <w:rPr>
          <w:rFonts w:ascii="Times New Roman" w:hAnsi="Times New Roman"/>
          <w:sz w:val="24"/>
          <w:szCs w:val="24"/>
        </w:rPr>
        <w:t xml:space="preserve"> – </w:t>
      </w:r>
      <w:proofErr w:type="spellStart"/>
      <w:r>
        <w:rPr>
          <w:rFonts w:ascii="Times New Roman" w:hAnsi="Times New Roman"/>
          <w:i/>
          <w:sz w:val="24"/>
          <w:szCs w:val="24"/>
        </w:rPr>
        <w:t>VaR</w:t>
      </w:r>
      <w:proofErr w:type="spellEnd"/>
      <w:r>
        <w:rPr>
          <w:rFonts w:ascii="Times New Roman" w:hAnsi="Times New Roman"/>
          <w:i/>
          <w:sz w:val="24"/>
          <w:szCs w:val="24"/>
        </w:rPr>
        <w:t xml:space="preserve"> da Petrobras</w:t>
      </w:r>
      <w:r>
        <w:rPr>
          <w:rFonts w:ascii="Times New Roman" w:hAnsi="Times New Roman"/>
          <w:sz w:val="24"/>
          <w:szCs w:val="24"/>
        </w:rPr>
        <w:t>.</w:t>
      </w:r>
    </w:p>
    <w:p w14:paraId="7851CC36" w14:textId="77777777" w:rsidR="00C831CA" w:rsidRDefault="00C831CA" w:rsidP="00C831CA">
      <w:pPr>
        <w:ind w:firstLine="708"/>
        <w:jc w:val="both"/>
        <w:rPr>
          <w:sz w:val="24"/>
          <w:szCs w:val="24"/>
        </w:rPr>
      </w:pPr>
      <w:r>
        <w:rPr>
          <w:sz w:val="24"/>
          <w:szCs w:val="24"/>
        </w:rPr>
        <w:t>Fizemos a hipótese de que os retornos são distribuídos normalmente. No entanto, essa hipótese apresenta uma imperfeição, pois permite a ocorrência de preços negativos: uma alta de 120% tem a mesma probabilidade de uma baixa de 120% o que implica uma cotação menor que zero para a ação.</w:t>
      </w:r>
    </w:p>
    <w:p w14:paraId="75142C79" w14:textId="77777777" w:rsidR="00C831CA" w:rsidRDefault="00C831CA" w:rsidP="00C831CA">
      <w:pPr>
        <w:ind w:firstLine="708"/>
        <w:jc w:val="both"/>
        <w:rPr>
          <w:sz w:val="24"/>
          <w:szCs w:val="24"/>
        </w:rPr>
      </w:pPr>
      <w:r>
        <w:rPr>
          <w:sz w:val="24"/>
          <w:szCs w:val="24"/>
        </w:rPr>
        <w:t xml:space="preserve">A melhor forma de contornar esse problema é supor que os preços tenham a mesma probabilidade de variar para cima e para baixo por um fator. Por exemplo, 1,10. O preço teria iguais probabilidades de subir para 1,10 vezes seu valor (ou seja, aumentar em 10%), ou cair por 1,10 vezes seu valor (ou seja, uma baixa de 9,09%). Uma alta de 200% (três vezes seu valor) teria a mesma probabilidade de uma redução por três (uma baixa de 66,67%). </w:t>
      </w:r>
    </w:p>
    <w:p w14:paraId="21FB1DB6" w14:textId="77777777" w:rsidR="00C831CA" w:rsidRDefault="00C831CA" w:rsidP="00C831CA">
      <w:pPr>
        <w:ind w:firstLine="708"/>
        <w:jc w:val="both"/>
        <w:rPr>
          <w:sz w:val="24"/>
          <w:szCs w:val="24"/>
        </w:rPr>
      </w:pPr>
      <w:r>
        <w:rPr>
          <w:sz w:val="24"/>
          <w:szCs w:val="24"/>
        </w:rPr>
        <w:t xml:space="preserve">Por maior que seja um fator, ele jamais levará um preço a ser </w:t>
      </w:r>
      <w:proofErr w:type="spellStart"/>
      <w:proofErr w:type="gramStart"/>
      <w:r>
        <w:rPr>
          <w:sz w:val="24"/>
          <w:szCs w:val="24"/>
        </w:rPr>
        <w:t>negativo.Para</w:t>
      </w:r>
      <w:proofErr w:type="spellEnd"/>
      <w:proofErr w:type="gramEnd"/>
      <w:r>
        <w:rPr>
          <w:sz w:val="24"/>
          <w:szCs w:val="24"/>
        </w:rPr>
        <w:t xml:space="preserve"> modelar matematicamente uma distribuição na qual as probabilidades de alta e de baixa por um mesmo fator são iguais, temos de usar uma distribuição log-normal. Como faremos isso? Vamos admitir que a diferença entre o logaritmo natural da cotação da ação em um dia e o logaritmo natural da cotação da ação no dia anterior obedece a uma distribuição normal. Em outras palavras, agora, iremos estudar a diferença </w:t>
      </w:r>
      <w:r>
        <w:rPr>
          <w:position w:val="-6"/>
          <w:sz w:val="24"/>
          <w:szCs w:val="24"/>
          <w:lang w:eastAsia="ar-SA"/>
        </w:rPr>
        <w:object w:dxaOrig="1440" w:dyaOrig="360" w14:anchorId="0CDE82A6">
          <v:shape id="_x0000_i1048" type="#_x0000_t75" style="width:1in;height:18pt" o:ole="" filled="t">
            <v:fill color2="black"/>
            <v:imagedata r:id="rId44" o:title=""/>
          </v:shape>
          <o:OLEObject Type="Embed" ProgID="Equation.3" ShapeID="_x0000_i1048" DrawAspect="Content" ObjectID="_1714339168" r:id="rId45"/>
        </w:object>
      </w:r>
      <w:r>
        <w:rPr>
          <w:sz w:val="24"/>
          <w:szCs w:val="24"/>
        </w:rPr>
        <w:t xml:space="preserve"> onde </w:t>
      </w:r>
      <w:r>
        <w:rPr>
          <w:i/>
          <w:sz w:val="24"/>
          <w:szCs w:val="24"/>
        </w:rPr>
        <w:t>S</w:t>
      </w:r>
      <w:r>
        <w:rPr>
          <w:sz w:val="24"/>
          <w:szCs w:val="24"/>
          <w:vertAlign w:val="subscript"/>
        </w:rPr>
        <w:t>0</w:t>
      </w:r>
      <w:r>
        <w:rPr>
          <w:sz w:val="24"/>
          <w:szCs w:val="24"/>
        </w:rPr>
        <w:t xml:space="preserve"> é preço de fechamento hoje e </w:t>
      </w:r>
      <w:r>
        <w:rPr>
          <w:i/>
          <w:sz w:val="24"/>
          <w:szCs w:val="24"/>
        </w:rPr>
        <w:t>S</w:t>
      </w:r>
      <w:r>
        <w:rPr>
          <w:sz w:val="24"/>
          <w:szCs w:val="24"/>
          <w:vertAlign w:val="subscript"/>
        </w:rPr>
        <w:t>1</w:t>
      </w:r>
      <w:r>
        <w:rPr>
          <w:sz w:val="24"/>
          <w:szCs w:val="24"/>
        </w:rPr>
        <w:t xml:space="preserve"> é o preço de fechamento ontem. Essa diferença é chamada de retorno geométrico, em contraste com o retorno aritmético ou simplesmente retorno que é a variação percentual no preço do ativo. O retorno geométrico é o retorno utilizado na teoria de finanças, já o retorno aritmético é empregado em aplicações financeiras práticas.</w:t>
      </w:r>
    </w:p>
    <w:p w14:paraId="39AF9D6B" w14:textId="77777777" w:rsidR="00C831CA" w:rsidRDefault="00C831CA" w:rsidP="00C831CA">
      <w:pPr>
        <w:ind w:firstLine="708"/>
        <w:jc w:val="both"/>
        <w:rPr>
          <w:sz w:val="24"/>
          <w:szCs w:val="24"/>
        </w:rPr>
      </w:pPr>
      <w:r>
        <w:rPr>
          <w:sz w:val="24"/>
          <w:szCs w:val="24"/>
        </w:rPr>
        <w:lastRenderedPageBreak/>
        <w:t>Se a distribuição da diferença entre o logaritmo dos preços é normal, então uma alta por 1,10 (uma alta de 10%) tem a mesma probabilidade que uma baixa por 1,10 (uma baixa de 9,09%). Isso porque a distância entre o logaritmo de 100 e o de 110 é a mesma que aquela entre o logaritmo de 100 e o de 100/1,10 = 90,90:</w:t>
      </w:r>
    </w:p>
    <w:p w14:paraId="2136E498"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24"/>
          <w:sz w:val="24"/>
          <w:szCs w:val="24"/>
        </w:rPr>
        <w:object w:dxaOrig="2700" w:dyaOrig="675" w14:anchorId="4F46D8F2">
          <v:shape id="_x0000_i1049" type="#_x0000_t75" style="width:135pt;height:33.75pt" o:ole="" filled="t">
            <v:fill color2="black"/>
            <v:imagedata r:id="rId46" o:title=""/>
          </v:shape>
          <o:OLEObject Type="Embed" ProgID="Equation.3" ShapeID="_x0000_i1049" DrawAspect="Content" ObjectID="_1714339169" r:id="rId47"/>
        </w:object>
      </w:r>
    </w:p>
    <w:p w14:paraId="51EC6313" w14:textId="77777777" w:rsidR="00C831CA" w:rsidRDefault="00C831CA" w:rsidP="00C831CA">
      <w:pPr>
        <w:pStyle w:val="Oscar"/>
        <w:tabs>
          <w:tab w:val="left" w:pos="709"/>
        </w:tabs>
        <w:spacing w:line="240" w:lineRule="auto"/>
        <w:rPr>
          <w:szCs w:val="24"/>
        </w:rPr>
      </w:pPr>
      <w:r>
        <w:rPr>
          <w:szCs w:val="24"/>
        </w:rPr>
        <w:t>Usando uma propriedade bem conhecida dos logaritmos, temos que:</w:t>
      </w:r>
    </w:p>
    <w:p w14:paraId="74A1B128"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28"/>
          <w:sz w:val="24"/>
          <w:szCs w:val="24"/>
        </w:rPr>
        <w:object w:dxaOrig="6015" w:dyaOrig="765" w14:anchorId="6BFD900E">
          <v:shape id="_x0000_i1050" type="#_x0000_t75" style="width:300.75pt;height:38.25pt" o:ole="" filled="t">
            <v:fill color2="black"/>
            <v:imagedata r:id="rId48" o:title=""/>
          </v:shape>
          <o:OLEObject Type="Embed" ProgID="Equation.3" ShapeID="_x0000_i1050" DrawAspect="Content" ObjectID="_1714339170" r:id="rId49"/>
        </w:object>
      </w:r>
    </w:p>
    <w:p w14:paraId="7A1642E4" w14:textId="77777777" w:rsidR="00C831CA" w:rsidRDefault="00C831CA" w:rsidP="00C831CA">
      <w:pPr>
        <w:jc w:val="both"/>
        <w:rPr>
          <w:sz w:val="24"/>
          <w:szCs w:val="24"/>
        </w:rPr>
      </w:pPr>
      <w:r>
        <w:rPr>
          <w:sz w:val="24"/>
          <w:szCs w:val="24"/>
        </w:rPr>
        <w:t xml:space="preserve">Portanto, o retorno geométrico é igual ao logaritmo natural do retorno aritmético acrescido de uma unidade. Para retornos aritméticos pequenos (menores que 5%), o retorno geométrico e o aritmético são praticamente iguais. Por exemplo, um retorno aritmético igual a 3% equivale a um retorno geométrico de </w:t>
      </w:r>
      <w:r>
        <w:rPr>
          <w:position w:val="-4"/>
          <w:sz w:val="24"/>
          <w:szCs w:val="24"/>
          <w:lang w:eastAsia="ar-SA"/>
        </w:rPr>
        <w:object w:dxaOrig="2895" w:dyaOrig="315" w14:anchorId="798C689C">
          <v:shape id="_x0000_i1051" type="#_x0000_t75" style="width:144.75pt;height:15.75pt" o:ole="" filled="t">
            <v:fill color2="black"/>
            <v:imagedata r:id="rId50" o:title=""/>
          </v:shape>
          <o:OLEObject Type="Embed" ProgID="Equation.3" ShapeID="_x0000_i1051" DrawAspect="Content" ObjectID="_1714339171" r:id="rId51"/>
        </w:object>
      </w:r>
      <w:r>
        <w:rPr>
          <w:sz w:val="24"/>
          <w:szCs w:val="24"/>
        </w:rPr>
        <w:t>.</w:t>
      </w:r>
    </w:p>
    <w:p w14:paraId="43110C4E" w14:textId="77777777" w:rsidR="00C831CA" w:rsidRDefault="00C831CA" w:rsidP="00C831CA">
      <w:pPr>
        <w:jc w:val="both"/>
        <w:rPr>
          <w:sz w:val="24"/>
          <w:szCs w:val="24"/>
        </w:rPr>
      </w:pPr>
      <w:r>
        <w:rPr>
          <w:sz w:val="24"/>
          <w:szCs w:val="24"/>
        </w:rPr>
        <w:t xml:space="preserve">Em suma, uma alternativa pode ser obtida partindo-se do pressuposto de que a distribuição de probabilidade do retorno geométrico de um ativo é normal. O documento técnico do banco J. P. Morgan, </w:t>
      </w:r>
      <w:proofErr w:type="spellStart"/>
      <w:r>
        <w:rPr>
          <w:i/>
          <w:sz w:val="24"/>
          <w:szCs w:val="24"/>
        </w:rPr>
        <w:t>RiskMetrics</w:t>
      </w:r>
      <w:proofErr w:type="spellEnd"/>
      <w:r>
        <w:rPr>
          <w:sz w:val="24"/>
          <w:szCs w:val="24"/>
        </w:rPr>
        <w:t xml:space="preserve">, que introduziu o conceito de </w:t>
      </w:r>
      <w:proofErr w:type="spellStart"/>
      <w:proofErr w:type="gramStart"/>
      <w:r>
        <w:rPr>
          <w:i/>
          <w:sz w:val="24"/>
          <w:szCs w:val="24"/>
        </w:rPr>
        <w:t>VaR</w:t>
      </w:r>
      <w:proofErr w:type="spellEnd"/>
      <w:r>
        <w:rPr>
          <w:sz w:val="24"/>
          <w:szCs w:val="24"/>
        </w:rPr>
        <w:t xml:space="preserve"> ,usa</w:t>
      </w:r>
      <w:proofErr w:type="gramEnd"/>
      <w:r>
        <w:rPr>
          <w:sz w:val="24"/>
          <w:szCs w:val="24"/>
        </w:rPr>
        <w:t xml:space="preserve"> essa abordagem. Assim,</w:t>
      </w:r>
    </w:p>
    <w:p w14:paraId="0011E056"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10"/>
          <w:sz w:val="24"/>
          <w:szCs w:val="24"/>
        </w:rPr>
        <w:object w:dxaOrig="2535" w:dyaOrig="405" w14:anchorId="1A962EDF">
          <v:shape id="_x0000_i1052" type="#_x0000_t75" style="width:126.75pt;height:20.25pt" o:ole="" filled="t">
            <v:fill color2="black"/>
            <v:imagedata r:id="rId52" o:title=""/>
          </v:shape>
          <o:OLEObject Type="Embed" ProgID="Equation.3" ShapeID="_x0000_i1052" DrawAspect="Content" ObjectID="_1714339172" r:id="rId53"/>
        </w:object>
      </w:r>
    </w:p>
    <w:p w14:paraId="48D7E81B" w14:textId="77777777" w:rsidR="00C831CA" w:rsidRDefault="00C831CA" w:rsidP="00C831CA">
      <w:pPr>
        <w:jc w:val="both"/>
        <w:rPr>
          <w:sz w:val="24"/>
          <w:szCs w:val="24"/>
        </w:rPr>
      </w:pPr>
      <w:r>
        <w:rPr>
          <w:sz w:val="24"/>
          <w:szCs w:val="24"/>
        </w:rPr>
        <w:t>Onde:</w:t>
      </w:r>
    </w:p>
    <w:p w14:paraId="1DF03BBD" w14:textId="77777777" w:rsidR="00C831CA" w:rsidRDefault="00C831CA" w:rsidP="00C831CA">
      <w:pPr>
        <w:jc w:val="both"/>
        <w:rPr>
          <w:sz w:val="24"/>
          <w:szCs w:val="24"/>
        </w:rPr>
      </w:pPr>
      <w:r>
        <w:rPr>
          <w:rFonts w:ascii="Symbol" w:hAnsi="Symbol"/>
          <w:i/>
        </w:rPr>
        <w:t>s</w:t>
      </w:r>
      <w:r>
        <w:rPr>
          <w:rFonts w:ascii="Arial" w:hAnsi="Arial" w:cs="Arial"/>
          <w:i/>
          <w:vertAlign w:val="subscript"/>
        </w:rPr>
        <w:t>g</w:t>
      </w:r>
      <w:r>
        <w:rPr>
          <w:sz w:val="24"/>
          <w:szCs w:val="24"/>
        </w:rPr>
        <w:t xml:space="preserve"> = desvio-padrão do retorno geométrico de um dia;</w:t>
      </w:r>
    </w:p>
    <w:p w14:paraId="2430804D" w14:textId="77777777" w:rsidR="00C831CA" w:rsidRDefault="00C831CA" w:rsidP="00C831CA">
      <w:pPr>
        <w:jc w:val="both"/>
        <w:rPr>
          <w:sz w:val="24"/>
          <w:szCs w:val="24"/>
        </w:rPr>
      </w:pPr>
      <w:r>
        <w:rPr>
          <w:rFonts w:ascii="Symbol" w:hAnsi="Symbol"/>
          <w:i/>
        </w:rPr>
        <w:t>m</w:t>
      </w:r>
      <w:r>
        <w:rPr>
          <w:rFonts w:ascii="Arial" w:hAnsi="Arial" w:cs="Arial"/>
          <w:i/>
          <w:vertAlign w:val="subscript"/>
        </w:rPr>
        <w:t>g</w:t>
      </w:r>
      <w:r>
        <w:rPr>
          <w:sz w:val="24"/>
          <w:szCs w:val="24"/>
        </w:rPr>
        <w:t xml:space="preserve"> = média do retorno geométrico de um dia;</w:t>
      </w:r>
    </w:p>
    <w:p w14:paraId="73B6DE1D" w14:textId="77777777" w:rsidR="00C831CA" w:rsidRDefault="00C831CA" w:rsidP="00C831CA">
      <w:pPr>
        <w:jc w:val="both"/>
        <w:rPr>
          <w:sz w:val="24"/>
          <w:szCs w:val="24"/>
        </w:rPr>
      </w:pPr>
      <w:r>
        <w:rPr>
          <w:position w:val="-4"/>
          <w:sz w:val="24"/>
          <w:szCs w:val="24"/>
          <w:lang w:eastAsia="ar-SA"/>
        </w:rPr>
        <w:object w:dxaOrig="285" w:dyaOrig="315" w14:anchorId="0E90E0C7">
          <v:shape id="_x0000_i1053" type="#_x0000_t75" style="width:14.25pt;height:15.75pt" o:ole="" filled="t">
            <v:fill color2="black"/>
            <v:imagedata r:id="rId54" o:title=""/>
          </v:shape>
          <o:OLEObject Type="Embed" ProgID="Equation.3" ShapeID="_x0000_i1053" DrawAspect="Content" ObjectID="_1714339173" r:id="rId55"/>
        </w:object>
      </w:r>
      <w:r>
        <w:rPr>
          <w:sz w:val="24"/>
          <w:szCs w:val="24"/>
        </w:rPr>
        <w:t xml:space="preserve"> = representa a função exponencial natural calculada no ponto </w:t>
      </w:r>
      <w:r>
        <w:rPr>
          <w:i/>
          <w:sz w:val="24"/>
          <w:szCs w:val="24"/>
        </w:rPr>
        <w:t>x</w:t>
      </w:r>
      <w:r>
        <w:rPr>
          <w:sz w:val="24"/>
          <w:szCs w:val="24"/>
        </w:rPr>
        <w:t xml:space="preserve">. </w:t>
      </w:r>
    </w:p>
    <w:p w14:paraId="4973FE10" w14:textId="77777777" w:rsidR="00C831CA" w:rsidRDefault="00C831CA" w:rsidP="00C831CA">
      <w:pPr>
        <w:pStyle w:val="Oscar"/>
        <w:tabs>
          <w:tab w:val="left" w:pos="709"/>
        </w:tabs>
        <w:spacing w:line="240" w:lineRule="auto"/>
        <w:rPr>
          <w:rFonts w:eastAsia="Arial Unicode MS"/>
          <w:szCs w:val="24"/>
        </w:rPr>
      </w:pPr>
    </w:p>
    <w:p w14:paraId="01E68BA6" w14:textId="77777777" w:rsidR="00C831CA" w:rsidRDefault="00C831CA" w:rsidP="00C831CA">
      <w:pPr>
        <w:jc w:val="both"/>
        <w:rPr>
          <w:sz w:val="24"/>
          <w:szCs w:val="24"/>
        </w:rPr>
      </w:pPr>
      <w:r>
        <w:rPr>
          <w:sz w:val="24"/>
          <w:szCs w:val="24"/>
        </w:rPr>
        <w:t xml:space="preserve">Considerando as seguintes estatísticas: </w:t>
      </w:r>
      <w:proofErr w:type="spellStart"/>
      <w:r>
        <w:rPr>
          <w:sz w:val="24"/>
          <w:szCs w:val="24"/>
        </w:rPr>
        <w:t>σ</w:t>
      </w:r>
      <w:r>
        <w:rPr>
          <w:i/>
          <w:sz w:val="24"/>
          <w:szCs w:val="24"/>
          <w:vertAlign w:val="subscript"/>
        </w:rPr>
        <w:t>g</w:t>
      </w:r>
      <w:proofErr w:type="spellEnd"/>
      <w:r>
        <w:rPr>
          <w:sz w:val="24"/>
          <w:szCs w:val="24"/>
        </w:rPr>
        <w:t xml:space="preserve"> = 3,027% e </w:t>
      </w:r>
      <w:r>
        <w:rPr>
          <w:i/>
          <w:sz w:val="24"/>
          <w:szCs w:val="24"/>
        </w:rPr>
        <w:t>µ</w:t>
      </w:r>
      <w:r>
        <w:rPr>
          <w:i/>
          <w:sz w:val="24"/>
          <w:szCs w:val="24"/>
          <w:vertAlign w:val="subscript"/>
        </w:rPr>
        <w:t>g</w:t>
      </w:r>
      <w:r>
        <w:rPr>
          <w:sz w:val="24"/>
          <w:szCs w:val="24"/>
        </w:rPr>
        <w:t xml:space="preserve"> = - 0,030%. Temos:</w:t>
      </w:r>
    </w:p>
    <w:p w14:paraId="04881EFF" w14:textId="77777777" w:rsidR="00C831CA" w:rsidRDefault="00C831CA" w:rsidP="00C831CA">
      <w:pPr>
        <w:jc w:val="center"/>
        <w:rPr>
          <w:sz w:val="24"/>
          <w:szCs w:val="24"/>
        </w:rPr>
      </w:pPr>
      <w:r>
        <w:rPr>
          <w:position w:val="-6"/>
          <w:sz w:val="24"/>
          <w:szCs w:val="24"/>
          <w:lang w:eastAsia="ar-SA"/>
        </w:rPr>
        <w:object w:dxaOrig="4920" w:dyaOrig="360" w14:anchorId="670BFBDF">
          <v:shape id="_x0000_i1054" type="#_x0000_t75" style="width:246pt;height:18pt" o:ole="" filled="t">
            <v:fill color2="black"/>
            <v:imagedata r:id="rId56" o:title=""/>
          </v:shape>
          <o:OLEObject Type="Embed" ProgID="Equation.3" ShapeID="_x0000_i1054" DrawAspect="Content" ObjectID="_1714339174" r:id="rId57"/>
        </w:object>
      </w:r>
      <w:r>
        <w:rPr>
          <w:sz w:val="24"/>
          <w:szCs w:val="24"/>
        </w:rPr>
        <w:t xml:space="preserve"> e</w:t>
      </w:r>
    </w:p>
    <w:p w14:paraId="7519DF3F" w14:textId="77777777" w:rsidR="00C831CA" w:rsidRDefault="00C831CA" w:rsidP="00C831CA">
      <w:pPr>
        <w:jc w:val="center"/>
        <w:rPr>
          <w:sz w:val="24"/>
          <w:szCs w:val="24"/>
        </w:rPr>
      </w:pPr>
      <w:r>
        <w:rPr>
          <w:position w:val="-6"/>
          <w:sz w:val="24"/>
          <w:szCs w:val="24"/>
          <w:lang w:eastAsia="ar-SA"/>
        </w:rPr>
        <w:object w:dxaOrig="4380" w:dyaOrig="360" w14:anchorId="51CA8216">
          <v:shape id="_x0000_i1055" type="#_x0000_t75" style="width:219pt;height:18pt" o:ole="" filled="t">
            <v:fill color2="black"/>
            <v:imagedata r:id="rId58" o:title=""/>
          </v:shape>
          <o:OLEObject Type="Embed" ProgID="Equation.3" ShapeID="_x0000_i1055" DrawAspect="Content" ObjectID="_1714339175" r:id="rId59"/>
        </w:object>
      </w:r>
      <w:r>
        <w:rPr>
          <w:sz w:val="24"/>
          <w:szCs w:val="24"/>
        </w:rPr>
        <w:t>.</w:t>
      </w:r>
    </w:p>
    <w:p w14:paraId="7C967713" w14:textId="77777777" w:rsidR="00C831CA" w:rsidRDefault="00C831CA" w:rsidP="00C831CA">
      <w:pPr>
        <w:pStyle w:val="Ttulo2"/>
        <w:numPr>
          <w:ilvl w:val="0"/>
          <w:numId w:val="0"/>
        </w:numPr>
        <w:tabs>
          <w:tab w:val="left" w:pos="720"/>
        </w:tabs>
        <w:spacing w:line="240" w:lineRule="auto"/>
        <w:rPr>
          <w:rFonts w:ascii="Times New Roman" w:hAnsi="Times New Roman"/>
          <w:sz w:val="24"/>
          <w:szCs w:val="24"/>
        </w:rPr>
      </w:pPr>
    </w:p>
    <w:p w14:paraId="336306EB" w14:textId="77777777" w:rsidR="00C831CA" w:rsidRDefault="00C831CA" w:rsidP="00C831CA">
      <w:pPr>
        <w:pStyle w:val="Ttulo2"/>
        <w:numPr>
          <w:ilvl w:val="0"/>
          <w:numId w:val="0"/>
        </w:numPr>
        <w:tabs>
          <w:tab w:val="left" w:pos="720"/>
        </w:tabs>
        <w:spacing w:line="240" w:lineRule="auto"/>
        <w:rPr>
          <w:rFonts w:ascii="Times New Roman" w:hAnsi="Times New Roman"/>
          <w:b w:val="0"/>
          <w:sz w:val="24"/>
          <w:szCs w:val="24"/>
        </w:rPr>
      </w:pPr>
      <w:r>
        <w:rPr>
          <w:rFonts w:ascii="Times New Roman" w:hAnsi="Times New Roman"/>
          <w:b w:val="0"/>
          <w:sz w:val="24"/>
          <w:szCs w:val="24"/>
        </w:rPr>
        <w:t xml:space="preserve">6.3 </w:t>
      </w:r>
      <w:proofErr w:type="spellStart"/>
      <w:r>
        <w:rPr>
          <w:rFonts w:ascii="Times New Roman" w:hAnsi="Times New Roman"/>
          <w:b w:val="0"/>
          <w:sz w:val="24"/>
          <w:szCs w:val="24"/>
        </w:rPr>
        <w:t>v</w:t>
      </w:r>
      <w:r>
        <w:rPr>
          <w:rFonts w:ascii="Times New Roman" w:hAnsi="Times New Roman"/>
          <w:b w:val="0"/>
          <w:caps w:val="0"/>
          <w:sz w:val="24"/>
          <w:szCs w:val="24"/>
        </w:rPr>
        <w:t>a</w:t>
      </w:r>
      <w:r>
        <w:rPr>
          <w:rFonts w:ascii="Times New Roman" w:hAnsi="Times New Roman"/>
          <w:b w:val="0"/>
          <w:sz w:val="24"/>
          <w:szCs w:val="24"/>
        </w:rPr>
        <w:t>r</w:t>
      </w:r>
      <w:proofErr w:type="spellEnd"/>
      <w:r>
        <w:rPr>
          <w:rFonts w:ascii="Times New Roman" w:hAnsi="Times New Roman"/>
          <w:b w:val="0"/>
          <w:sz w:val="24"/>
          <w:szCs w:val="24"/>
        </w:rPr>
        <w:t xml:space="preserve"> de uma carteira</w:t>
      </w:r>
    </w:p>
    <w:p w14:paraId="790D3850" w14:textId="77777777" w:rsidR="00C831CA" w:rsidRDefault="00C831CA" w:rsidP="00C831CA">
      <w:pPr>
        <w:rPr>
          <w:sz w:val="24"/>
          <w:szCs w:val="24"/>
        </w:rPr>
      </w:pPr>
    </w:p>
    <w:p w14:paraId="0B365831" w14:textId="77777777" w:rsidR="00C831CA" w:rsidRDefault="00C831CA" w:rsidP="00C831CA">
      <w:pPr>
        <w:pStyle w:val="Oscar"/>
        <w:tabs>
          <w:tab w:val="left" w:pos="709"/>
        </w:tabs>
        <w:spacing w:line="240" w:lineRule="auto"/>
        <w:rPr>
          <w:szCs w:val="24"/>
        </w:rPr>
      </w:pPr>
      <w:r>
        <w:rPr>
          <w:szCs w:val="24"/>
        </w:rPr>
        <w:t>Se tivermos apenas um ativo em nossa carteira, podemos empregar as fórmulas anteriormente apresentadas; entretanto, se nossa carteira possui mais de um ativo, teremos de levar em conta o efeito da correlação entre os ativos. Isto é, teremos de levar em conta se os ativos que compõem a carteira têm um comportamento semelhante (quando um sobe, o outro tende a assumir), oposto (quando um cai, o outro tende a subir) ou se não existe associação entre o comportamento dos ativos (quando um sobe, o outro pode subir ou cair com igual probabilidade). Uma medida do grau de associação entre o retorno de dois ativos é coeficiente de correlação. Supondo que as, temos:</w:t>
      </w:r>
    </w:p>
    <w:p w14:paraId="3EE1FE7B"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12"/>
          <w:sz w:val="24"/>
          <w:szCs w:val="24"/>
        </w:rPr>
        <w:object w:dxaOrig="3885" w:dyaOrig="435" w14:anchorId="60ED6B4B">
          <v:shape id="_x0000_i1056" type="#_x0000_t75" style="width:194.25pt;height:21.75pt" o:ole="" filled="t">
            <v:fill color2="black"/>
            <v:imagedata r:id="rId60" o:title=""/>
          </v:shape>
          <o:OLEObject Type="Embed" ProgID="Equation.3" ShapeID="_x0000_i1056" DrawAspect="Content" ObjectID="_1714339176" r:id="rId61"/>
        </w:object>
      </w:r>
      <w:r>
        <w:rPr>
          <w:rFonts w:ascii="Times New Roman" w:hAnsi="Times New Roman"/>
          <w:sz w:val="24"/>
          <w:szCs w:val="24"/>
        </w:rPr>
        <w:t>.</w:t>
      </w:r>
      <w:r>
        <w:rPr>
          <w:rFonts w:ascii="Times New Roman" w:hAnsi="Times New Roman"/>
          <w:sz w:val="24"/>
          <w:szCs w:val="24"/>
        </w:rPr>
        <w:tab/>
        <w:t>(6)</w:t>
      </w:r>
    </w:p>
    <w:p w14:paraId="7EEC94BD" w14:textId="77777777" w:rsidR="00C831CA" w:rsidRDefault="00C831CA" w:rsidP="00C831CA">
      <w:pPr>
        <w:rPr>
          <w:sz w:val="24"/>
          <w:szCs w:val="24"/>
        </w:rPr>
      </w:pPr>
      <w:r>
        <w:rPr>
          <w:sz w:val="24"/>
          <w:szCs w:val="24"/>
        </w:rPr>
        <w:t>Onde:</w:t>
      </w:r>
    </w:p>
    <w:p w14:paraId="5513119E" w14:textId="77777777" w:rsidR="00C831CA" w:rsidRDefault="00C831CA" w:rsidP="00C831CA">
      <w:pPr>
        <w:rPr>
          <w:sz w:val="24"/>
          <w:szCs w:val="24"/>
        </w:rPr>
      </w:pPr>
      <w:proofErr w:type="spellStart"/>
      <w:r>
        <w:rPr>
          <w:i/>
          <w:sz w:val="24"/>
          <w:szCs w:val="24"/>
        </w:rPr>
        <w:t>VaR</w:t>
      </w:r>
      <w:r>
        <w:rPr>
          <w:i/>
          <w:sz w:val="24"/>
          <w:szCs w:val="24"/>
          <w:vertAlign w:val="subscript"/>
        </w:rPr>
        <w:t>c</w:t>
      </w:r>
      <w:proofErr w:type="spellEnd"/>
      <w:r>
        <w:rPr>
          <w:sz w:val="24"/>
          <w:szCs w:val="24"/>
        </w:rPr>
        <w:t xml:space="preserve"> = </w:t>
      </w:r>
      <w:proofErr w:type="spellStart"/>
      <w:r>
        <w:rPr>
          <w:i/>
          <w:sz w:val="24"/>
          <w:szCs w:val="24"/>
        </w:rPr>
        <w:t>Value</w:t>
      </w:r>
      <w:proofErr w:type="spellEnd"/>
      <w:r>
        <w:rPr>
          <w:i/>
          <w:sz w:val="24"/>
          <w:szCs w:val="24"/>
        </w:rPr>
        <w:t xml:space="preserve"> </w:t>
      </w:r>
      <w:proofErr w:type="spellStart"/>
      <w:r>
        <w:rPr>
          <w:i/>
          <w:sz w:val="24"/>
          <w:szCs w:val="24"/>
        </w:rPr>
        <w:t>at</w:t>
      </w:r>
      <w:proofErr w:type="spellEnd"/>
      <w:r>
        <w:rPr>
          <w:i/>
          <w:sz w:val="24"/>
          <w:szCs w:val="24"/>
        </w:rPr>
        <w:t xml:space="preserve"> Risk</w:t>
      </w:r>
      <w:r>
        <w:rPr>
          <w:sz w:val="24"/>
          <w:szCs w:val="24"/>
        </w:rPr>
        <w:t xml:space="preserve"> da carteira;</w:t>
      </w:r>
    </w:p>
    <w:p w14:paraId="5797B715" w14:textId="77777777" w:rsidR="00C831CA" w:rsidRDefault="00C831CA" w:rsidP="00C831CA">
      <w:pPr>
        <w:rPr>
          <w:sz w:val="24"/>
          <w:szCs w:val="24"/>
        </w:rPr>
      </w:pPr>
      <w:r>
        <w:rPr>
          <w:i/>
          <w:sz w:val="24"/>
          <w:szCs w:val="24"/>
        </w:rPr>
        <w:lastRenderedPageBreak/>
        <w:t>VaR</w:t>
      </w:r>
      <w:r>
        <w:rPr>
          <w:sz w:val="24"/>
          <w:szCs w:val="24"/>
          <w:vertAlign w:val="subscript"/>
        </w:rPr>
        <w:t>1</w:t>
      </w:r>
      <w:r>
        <w:rPr>
          <w:sz w:val="24"/>
          <w:szCs w:val="24"/>
        </w:rPr>
        <w:t xml:space="preserve"> =</w:t>
      </w:r>
      <w:r>
        <w:rPr>
          <w:i/>
          <w:sz w:val="24"/>
          <w:szCs w:val="24"/>
        </w:rPr>
        <w:t xml:space="preserve"> </w:t>
      </w:r>
      <w:proofErr w:type="spellStart"/>
      <w:r>
        <w:rPr>
          <w:i/>
          <w:sz w:val="24"/>
          <w:szCs w:val="24"/>
        </w:rPr>
        <w:t>Value</w:t>
      </w:r>
      <w:proofErr w:type="spellEnd"/>
      <w:r>
        <w:rPr>
          <w:i/>
          <w:sz w:val="24"/>
          <w:szCs w:val="24"/>
        </w:rPr>
        <w:t xml:space="preserve"> </w:t>
      </w:r>
      <w:proofErr w:type="spellStart"/>
      <w:r>
        <w:rPr>
          <w:i/>
          <w:sz w:val="24"/>
          <w:szCs w:val="24"/>
        </w:rPr>
        <w:t>at</w:t>
      </w:r>
      <w:proofErr w:type="spellEnd"/>
      <w:r>
        <w:rPr>
          <w:i/>
          <w:sz w:val="24"/>
          <w:szCs w:val="24"/>
        </w:rPr>
        <w:t xml:space="preserve"> Risk</w:t>
      </w:r>
      <w:r>
        <w:rPr>
          <w:sz w:val="24"/>
          <w:szCs w:val="24"/>
        </w:rPr>
        <w:t xml:space="preserve"> do ativo 1 da carteira;</w:t>
      </w:r>
    </w:p>
    <w:p w14:paraId="725794EA" w14:textId="77777777" w:rsidR="00C831CA" w:rsidRDefault="00C831CA" w:rsidP="00C831CA">
      <w:pPr>
        <w:rPr>
          <w:sz w:val="24"/>
          <w:szCs w:val="24"/>
        </w:rPr>
      </w:pPr>
      <w:r>
        <w:rPr>
          <w:i/>
          <w:sz w:val="24"/>
          <w:szCs w:val="24"/>
        </w:rPr>
        <w:t>VaR</w:t>
      </w:r>
      <w:r>
        <w:rPr>
          <w:sz w:val="24"/>
          <w:szCs w:val="24"/>
          <w:vertAlign w:val="subscript"/>
        </w:rPr>
        <w:t>2</w:t>
      </w:r>
      <w:r>
        <w:rPr>
          <w:sz w:val="24"/>
          <w:szCs w:val="24"/>
        </w:rPr>
        <w:t xml:space="preserve"> = </w:t>
      </w:r>
      <w:proofErr w:type="spellStart"/>
      <w:r>
        <w:rPr>
          <w:i/>
          <w:sz w:val="24"/>
          <w:szCs w:val="24"/>
        </w:rPr>
        <w:t>Value</w:t>
      </w:r>
      <w:proofErr w:type="spellEnd"/>
      <w:r>
        <w:rPr>
          <w:i/>
          <w:sz w:val="24"/>
          <w:szCs w:val="24"/>
        </w:rPr>
        <w:t xml:space="preserve"> </w:t>
      </w:r>
      <w:proofErr w:type="spellStart"/>
      <w:r>
        <w:rPr>
          <w:i/>
          <w:sz w:val="24"/>
          <w:szCs w:val="24"/>
        </w:rPr>
        <w:t>at</w:t>
      </w:r>
      <w:proofErr w:type="spellEnd"/>
      <w:r>
        <w:rPr>
          <w:i/>
          <w:sz w:val="24"/>
          <w:szCs w:val="24"/>
        </w:rPr>
        <w:t xml:space="preserve"> Risk</w:t>
      </w:r>
      <w:r>
        <w:rPr>
          <w:sz w:val="24"/>
          <w:szCs w:val="24"/>
        </w:rPr>
        <w:t xml:space="preserve"> do ativo 2 da carteira;</w:t>
      </w:r>
    </w:p>
    <w:p w14:paraId="24F8D19E" w14:textId="77777777" w:rsidR="00C831CA" w:rsidRDefault="00C831CA" w:rsidP="00C831CA">
      <w:pPr>
        <w:rPr>
          <w:sz w:val="24"/>
          <w:szCs w:val="24"/>
        </w:rPr>
      </w:pPr>
      <w:r>
        <w:rPr>
          <w:i/>
          <w:sz w:val="24"/>
          <w:szCs w:val="24"/>
        </w:rPr>
        <w:t>p</w:t>
      </w:r>
      <w:r>
        <w:rPr>
          <w:sz w:val="24"/>
          <w:szCs w:val="24"/>
          <w:vertAlign w:val="subscript"/>
        </w:rPr>
        <w:t xml:space="preserve">12 </w:t>
      </w:r>
      <w:r>
        <w:rPr>
          <w:sz w:val="24"/>
          <w:szCs w:val="24"/>
        </w:rPr>
        <w:t>= coeficiente de correlação entre o ativo 1 e o ativo 2.</w:t>
      </w:r>
    </w:p>
    <w:p w14:paraId="788E5092" w14:textId="77777777" w:rsidR="00C831CA" w:rsidRDefault="00C831CA" w:rsidP="00C831CA">
      <w:pPr>
        <w:ind w:firstLine="708"/>
        <w:jc w:val="both"/>
        <w:rPr>
          <w:sz w:val="24"/>
          <w:szCs w:val="24"/>
        </w:rPr>
      </w:pPr>
    </w:p>
    <w:p w14:paraId="06B5D765" w14:textId="77777777" w:rsidR="00C831CA" w:rsidRDefault="00C831CA" w:rsidP="00C831CA">
      <w:pPr>
        <w:ind w:firstLine="708"/>
        <w:jc w:val="both"/>
        <w:rPr>
          <w:sz w:val="24"/>
          <w:szCs w:val="24"/>
        </w:rPr>
      </w:pPr>
      <w:r>
        <w:rPr>
          <w:sz w:val="24"/>
          <w:szCs w:val="24"/>
        </w:rPr>
        <w:t xml:space="preserve">Uma forma alternativa de calcular o </w:t>
      </w:r>
      <w:proofErr w:type="spellStart"/>
      <w:r>
        <w:rPr>
          <w:i/>
          <w:sz w:val="24"/>
          <w:szCs w:val="24"/>
        </w:rPr>
        <w:t>VaR</w:t>
      </w:r>
      <w:proofErr w:type="spellEnd"/>
      <w:r>
        <w:rPr>
          <w:sz w:val="24"/>
          <w:szCs w:val="24"/>
        </w:rPr>
        <w:t xml:space="preserve"> de uma carteira formada por dois ativos consiste em, primeiramente, calcular a variância da carteira utilizando a seguinte expressão:</w:t>
      </w:r>
    </w:p>
    <w:p w14:paraId="0914F5F7" w14:textId="77777777" w:rsidR="00C831CA" w:rsidRDefault="00C831CA" w:rsidP="00C831CA">
      <w:pPr>
        <w:pStyle w:val="LegendaEquacao"/>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position w:val="-28"/>
          <w:sz w:val="24"/>
          <w:szCs w:val="24"/>
        </w:rPr>
        <w:object w:dxaOrig="3300" w:dyaOrig="765" w14:anchorId="0F3A0C44">
          <v:shape id="_x0000_i1057" type="#_x0000_t75" style="width:165pt;height:38.25pt" o:ole="" filled="t">
            <v:fill color2="black"/>
            <v:imagedata r:id="rId62" o:title=""/>
          </v:shape>
          <o:OLEObject Type="Embed" ProgID="Equation.3" ShapeID="_x0000_i1057" DrawAspect="Content" ObjectID="_1714339177" r:id="rId63"/>
        </w:object>
      </w:r>
      <w:r>
        <w:rPr>
          <w:rFonts w:ascii="Times New Roman" w:hAnsi="Times New Roman"/>
          <w:sz w:val="24"/>
          <w:szCs w:val="24"/>
        </w:rPr>
        <w:t>.</w:t>
      </w:r>
      <w:r>
        <w:rPr>
          <w:rFonts w:ascii="Times New Roman" w:hAnsi="Times New Roman"/>
          <w:sz w:val="24"/>
          <w:szCs w:val="24"/>
        </w:rPr>
        <w:tab/>
        <w:t>(7)</w:t>
      </w:r>
    </w:p>
    <w:p w14:paraId="042CC805" w14:textId="77777777" w:rsidR="00C831CA" w:rsidRDefault="00C831CA" w:rsidP="00C831CA">
      <w:pPr>
        <w:pStyle w:val="LegendaEquacao"/>
        <w:tabs>
          <w:tab w:val="left" w:pos="709"/>
        </w:tabs>
        <w:spacing w:before="0" w:after="120" w:line="240" w:lineRule="auto"/>
        <w:rPr>
          <w:rFonts w:ascii="Times New Roman" w:hAnsi="Times New Roman"/>
          <w:sz w:val="24"/>
          <w:szCs w:val="24"/>
        </w:rPr>
      </w:pPr>
      <w:r>
        <w:rPr>
          <w:rFonts w:ascii="Times New Roman" w:hAnsi="Times New Roman"/>
          <w:sz w:val="24"/>
          <w:szCs w:val="24"/>
        </w:rPr>
        <w:t>Onde:</w:t>
      </w:r>
    </w:p>
    <w:p w14:paraId="45021FA3" w14:textId="77777777" w:rsidR="00C831CA" w:rsidRDefault="00C831CA" w:rsidP="00C831CA">
      <w:pPr>
        <w:jc w:val="both"/>
        <w:rPr>
          <w:sz w:val="24"/>
          <w:szCs w:val="24"/>
        </w:rPr>
      </w:pPr>
      <w:r>
        <w:rPr>
          <w:i/>
          <w:sz w:val="24"/>
          <w:szCs w:val="24"/>
        </w:rPr>
        <w:t>w</w:t>
      </w:r>
      <w:r>
        <w:rPr>
          <w:sz w:val="24"/>
          <w:szCs w:val="24"/>
          <w:vertAlign w:val="subscript"/>
        </w:rPr>
        <w:t>1</w:t>
      </w:r>
      <w:r>
        <w:rPr>
          <w:sz w:val="24"/>
          <w:szCs w:val="24"/>
        </w:rPr>
        <w:t xml:space="preserve"> é participação do ativo 1 na carteira, e </w:t>
      </w:r>
      <w:r>
        <w:rPr>
          <w:i/>
          <w:sz w:val="24"/>
          <w:szCs w:val="24"/>
        </w:rPr>
        <w:t>w</w:t>
      </w:r>
      <w:r>
        <w:rPr>
          <w:sz w:val="24"/>
          <w:szCs w:val="24"/>
          <w:vertAlign w:val="subscript"/>
        </w:rPr>
        <w:t>2</w:t>
      </w:r>
      <w:r>
        <w:rPr>
          <w:sz w:val="24"/>
          <w:szCs w:val="24"/>
        </w:rPr>
        <w:t xml:space="preserve"> é participação do ativo 2 na carteira. Por exemplo, se o valor marcado a mercado do ativo 1 na carteira é R$ 600 mil e o do ativo 2 é R$ 400 mil, então </w:t>
      </w:r>
      <w:r>
        <w:rPr>
          <w:i/>
          <w:sz w:val="24"/>
          <w:szCs w:val="24"/>
        </w:rPr>
        <w:t>w</w:t>
      </w:r>
      <w:r>
        <w:rPr>
          <w:sz w:val="24"/>
          <w:szCs w:val="24"/>
          <w:vertAlign w:val="subscript"/>
        </w:rPr>
        <w:t>1</w:t>
      </w:r>
      <w:r>
        <w:rPr>
          <w:sz w:val="24"/>
          <w:szCs w:val="24"/>
        </w:rPr>
        <w:t xml:space="preserve"> = 0,6 e </w:t>
      </w:r>
      <w:r>
        <w:rPr>
          <w:i/>
          <w:sz w:val="24"/>
          <w:szCs w:val="24"/>
        </w:rPr>
        <w:t>w</w:t>
      </w:r>
      <w:r>
        <w:rPr>
          <w:sz w:val="24"/>
          <w:szCs w:val="24"/>
          <w:vertAlign w:val="subscript"/>
        </w:rPr>
        <w:t>2</w:t>
      </w:r>
      <w:r>
        <w:rPr>
          <w:sz w:val="24"/>
          <w:szCs w:val="24"/>
        </w:rPr>
        <w:t xml:space="preserve"> = 0,4. </w:t>
      </w:r>
      <w:r>
        <w:rPr>
          <w:position w:val="-5"/>
          <w:sz w:val="24"/>
          <w:szCs w:val="24"/>
          <w:lang w:eastAsia="ar-SA"/>
        </w:rPr>
        <w:object w:dxaOrig="1335" w:dyaOrig="345" w14:anchorId="40F55562">
          <v:shape id="_x0000_i1058" type="#_x0000_t75" style="width:66.75pt;height:17.25pt" o:ole="" filled="t">
            <v:fill color2="black"/>
            <v:imagedata r:id="rId64" o:title=""/>
          </v:shape>
          <o:OLEObject Type="Embed" ProgID="Equation.3" ShapeID="_x0000_i1058" DrawAspect="Content" ObjectID="_1714339178" r:id="rId65"/>
        </w:object>
      </w:r>
      <w:r>
        <w:rPr>
          <w:sz w:val="24"/>
          <w:szCs w:val="24"/>
        </w:rPr>
        <w:t xml:space="preserve"> é a matriz de pesos dos ativos na carteira;</w:t>
      </w:r>
    </w:p>
    <w:p w14:paraId="7D84966A" w14:textId="77777777" w:rsidR="00C831CA" w:rsidRDefault="00C831CA" w:rsidP="00C831CA">
      <w:pPr>
        <w:jc w:val="both"/>
        <w:rPr>
          <w:sz w:val="24"/>
          <w:szCs w:val="24"/>
        </w:rPr>
      </w:pPr>
    </w:p>
    <w:p w14:paraId="628B576B" w14:textId="77777777" w:rsidR="00C831CA" w:rsidRDefault="00C831CA" w:rsidP="00C831CA">
      <w:pPr>
        <w:jc w:val="both"/>
        <w:rPr>
          <w:sz w:val="24"/>
          <w:szCs w:val="24"/>
        </w:rPr>
      </w:pPr>
      <w:r>
        <w:rPr>
          <w:position w:val="-26"/>
          <w:sz w:val="24"/>
          <w:szCs w:val="24"/>
          <w:lang w:eastAsia="ar-SA"/>
        </w:rPr>
        <w:object w:dxaOrig="1575" w:dyaOrig="765" w14:anchorId="1ED971C9">
          <v:shape id="_x0000_i1059" type="#_x0000_t75" style="width:78.75pt;height:38.25pt" o:ole="" filled="t">
            <v:fill color2="black"/>
            <v:imagedata r:id="rId66" o:title=""/>
          </v:shape>
          <o:OLEObject Type="Embed" ProgID="Equation.3" ShapeID="_x0000_i1059" DrawAspect="Content" ObjectID="_1714339179" r:id="rId67"/>
        </w:object>
      </w:r>
      <w:r>
        <w:rPr>
          <w:sz w:val="24"/>
          <w:szCs w:val="24"/>
        </w:rPr>
        <w:t xml:space="preserve"> é a matriz de covariância da carteira. O parâmetro </w:t>
      </w:r>
      <w:r>
        <w:rPr>
          <w:position w:val="-6"/>
          <w:sz w:val="24"/>
          <w:szCs w:val="24"/>
          <w:lang w:eastAsia="ar-SA"/>
        </w:rPr>
        <w:object w:dxaOrig="345" w:dyaOrig="360" w14:anchorId="16EEF60D">
          <v:shape id="_x0000_i1060" type="#_x0000_t75" style="width:17.25pt;height:18pt" o:ole="" filled="t">
            <v:fill color2="black"/>
            <v:imagedata r:id="rId68" o:title=""/>
          </v:shape>
          <o:OLEObject Type="Embed" ProgID="Equation.3" ShapeID="_x0000_i1060" DrawAspect="Content" ObjectID="_1714339180" r:id="rId69"/>
        </w:object>
      </w:r>
      <w:r>
        <w:rPr>
          <w:i/>
          <w:sz w:val="24"/>
          <w:szCs w:val="24"/>
        </w:rPr>
        <w:t xml:space="preserve"> </w:t>
      </w:r>
      <w:r>
        <w:rPr>
          <w:sz w:val="24"/>
          <w:szCs w:val="24"/>
        </w:rPr>
        <w:t xml:space="preserve">é a variância do ativo 1, </w:t>
      </w:r>
      <w:r>
        <w:rPr>
          <w:position w:val="-6"/>
          <w:sz w:val="24"/>
          <w:szCs w:val="24"/>
          <w:lang w:eastAsia="ar-SA"/>
        </w:rPr>
        <w:object w:dxaOrig="345" w:dyaOrig="360" w14:anchorId="686215E1">
          <v:shape id="_x0000_i1061" type="#_x0000_t75" style="width:17.25pt;height:18pt" o:ole="" filled="t">
            <v:fill color2="black"/>
            <v:imagedata r:id="rId70" o:title=""/>
          </v:shape>
          <o:OLEObject Type="Embed" ProgID="Equation.3" ShapeID="_x0000_i1061" DrawAspect="Content" ObjectID="_1714339181" r:id="rId71"/>
        </w:object>
      </w:r>
      <w:r>
        <w:rPr>
          <w:sz w:val="24"/>
          <w:szCs w:val="24"/>
        </w:rPr>
        <w:t xml:space="preserve"> é a variância do ativo 2 e </w:t>
      </w:r>
      <w:r>
        <w:rPr>
          <w:position w:val="-5"/>
          <w:sz w:val="24"/>
          <w:szCs w:val="24"/>
          <w:lang w:eastAsia="ar-SA"/>
        </w:rPr>
        <w:object w:dxaOrig="360" w:dyaOrig="345" w14:anchorId="15EE4BAE">
          <v:shape id="_x0000_i1062" type="#_x0000_t75" style="width:18pt;height:17.25pt" o:ole="" filled="t">
            <v:fill color2="black"/>
            <v:imagedata r:id="rId72" o:title=""/>
          </v:shape>
          <o:OLEObject Type="Embed" ProgID="Equation.3" ShapeID="_x0000_i1062" DrawAspect="Content" ObjectID="_1714339182" r:id="rId73"/>
        </w:object>
      </w:r>
      <w:r>
        <w:rPr>
          <w:sz w:val="24"/>
          <w:szCs w:val="24"/>
        </w:rPr>
        <w:t xml:space="preserve"> é a covariância entre os ativos 1 e 2.</w:t>
      </w:r>
    </w:p>
    <w:p w14:paraId="16A587E7" w14:textId="77777777" w:rsidR="00C831CA" w:rsidRDefault="00C831CA" w:rsidP="00C831CA">
      <w:pPr>
        <w:jc w:val="both"/>
        <w:rPr>
          <w:sz w:val="24"/>
          <w:szCs w:val="24"/>
        </w:rPr>
      </w:pPr>
    </w:p>
    <w:p w14:paraId="675B6F33" w14:textId="77777777" w:rsidR="00C831CA" w:rsidRDefault="00C831CA" w:rsidP="00C831CA">
      <w:pPr>
        <w:jc w:val="both"/>
        <w:rPr>
          <w:sz w:val="24"/>
          <w:szCs w:val="24"/>
        </w:rPr>
      </w:pPr>
      <w:r>
        <w:rPr>
          <w:sz w:val="24"/>
          <w:szCs w:val="24"/>
        </w:rPr>
        <w:t>Efetuando o produto matricial no lado direito da Equação 2.9, obtemos:</w:t>
      </w:r>
    </w:p>
    <w:p w14:paraId="39C5DFE7"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66"/>
          <w:sz w:val="24"/>
          <w:szCs w:val="24"/>
        </w:rPr>
        <w:object w:dxaOrig="6645" w:dyaOrig="1515" w14:anchorId="71DA1E1C">
          <v:shape id="_x0000_i1063" type="#_x0000_t75" style="width:332.25pt;height:75.75pt" o:ole="" filled="t">
            <v:fill color2="black"/>
            <v:imagedata r:id="rId74" o:title=""/>
          </v:shape>
          <o:OLEObject Type="Embed" ProgID="Equation.3" ShapeID="_x0000_i1063" DrawAspect="Content" ObjectID="_1714339183" r:id="rId75"/>
        </w:object>
      </w:r>
    </w:p>
    <w:p w14:paraId="772B7BBA" w14:textId="77777777" w:rsidR="00C831CA" w:rsidRDefault="00C831CA" w:rsidP="00C831CA">
      <w:pPr>
        <w:jc w:val="both"/>
        <w:rPr>
          <w:sz w:val="24"/>
          <w:szCs w:val="24"/>
        </w:rPr>
      </w:pPr>
    </w:p>
    <w:p w14:paraId="5A369477" w14:textId="77777777" w:rsidR="00C831CA" w:rsidRDefault="00C831CA" w:rsidP="00C831CA">
      <w:pPr>
        <w:ind w:firstLine="708"/>
        <w:jc w:val="both"/>
        <w:rPr>
          <w:sz w:val="24"/>
          <w:szCs w:val="24"/>
        </w:rPr>
      </w:pPr>
      <w:r>
        <w:rPr>
          <w:sz w:val="24"/>
          <w:szCs w:val="24"/>
        </w:rPr>
        <w:t xml:space="preserve">Em seguida, podemos empregar a Equação 5, sendo </w:t>
      </w:r>
      <w:r>
        <w:rPr>
          <w:i/>
          <w:sz w:val="24"/>
          <w:szCs w:val="24"/>
        </w:rPr>
        <w:t>X</w:t>
      </w:r>
      <w:r>
        <w:rPr>
          <w:i/>
          <w:sz w:val="24"/>
          <w:szCs w:val="24"/>
          <w:vertAlign w:val="subscript"/>
        </w:rPr>
        <w:t>0</w:t>
      </w:r>
      <w:r>
        <w:rPr>
          <w:sz w:val="24"/>
          <w:szCs w:val="24"/>
        </w:rPr>
        <w:t xml:space="preserve"> o valor marcado a mercado da carteira e </w:t>
      </w:r>
      <w:proofErr w:type="gramStart"/>
      <w:r>
        <w:rPr>
          <w:i/>
          <w:sz w:val="24"/>
          <w:szCs w:val="24"/>
        </w:rPr>
        <w:t>σ</w:t>
      </w:r>
      <w:r>
        <w:rPr>
          <w:sz w:val="24"/>
          <w:szCs w:val="24"/>
        </w:rPr>
        <w:t xml:space="preserve"> ,</w:t>
      </w:r>
      <w:proofErr w:type="gramEnd"/>
      <w:r>
        <w:rPr>
          <w:sz w:val="24"/>
          <w:szCs w:val="24"/>
        </w:rPr>
        <w:t xml:space="preserve"> a volatilidade da carteira, isto é, </w:t>
      </w:r>
      <w:proofErr w:type="spellStart"/>
      <w:r>
        <w:rPr>
          <w:i/>
          <w:sz w:val="24"/>
          <w:szCs w:val="24"/>
        </w:rPr>
        <w:t>σ</w:t>
      </w:r>
      <w:r>
        <w:rPr>
          <w:i/>
          <w:sz w:val="24"/>
          <w:szCs w:val="24"/>
          <w:vertAlign w:val="subscript"/>
        </w:rPr>
        <w:t>c</w:t>
      </w:r>
      <w:proofErr w:type="spellEnd"/>
      <w:r>
        <w:rPr>
          <w:sz w:val="24"/>
          <w:szCs w:val="24"/>
        </w:rPr>
        <w:t>.</w:t>
      </w:r>
    </w:p>
    <w:p w14:paraId="7AEA89D8" w14:textId="77777777" w:rsidR="00C831CA" w:rsidRDefault="00C831CA" w:rsidP="00C831CA">
      <w:pPr>
        <w:jc w:val="both"/>
        <w:rPr>
          <w:sz w:val="24"/>
          <w:szCs w:val="24"/>
        </w:rPr>
      </w:pPr>
      <w:r>
        <w:rPr>
          <w:sz w:val="24"/>
          <w:szCs w:val="24"/>
        </w:rPr>
        <w:t xml:space="preserve">Por exemplo, para uma carteira formada por 10 mil ações de Petrobras PN e 10 milhões de ações de Telemar PN no dia 04/12/03, o </w:t>
      </w:r>
      <w:proofErr w:type="spellStart"/>
      <w:r>
        <w:rPr>
          <w:i/>
          <w:sz w:val="24"/>
          <w:szCs w:val="24"/>
        </w:rPr>
        <w:t>VaR</w:t>
      </w:r>
      <w:proofErr w:type="spellEnd"/>
      <w:r>
        <w:rPr>
          <w:sz w:val="24"/>
          <w:szCs w:val="24"/>
        </w:rPr>
        <w:t xml:space="preserve"> de um dia com um nível de confiança de 95% é obtido do seguinte modo:</w:t>
      </w:r>
    </w:p>
    <w:p w14:paraId="12B723E6" w14:textId="77777777" w:rsidR="00C831CA" w:rsidRDefault="00C831CA" w:rsidP="00C831CA">
      <w:pPr>
        <w:jc w:val="both"/>
        <w:rPr>
          <w:sz w:val="24"/>
          <w:szCs w:val="24"/>
        </w:rPr>
      </w:pPr>
    </w:p>
    <w:p w14:paraId="16E8EEEC"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7"/>
          <w:sz w:val="24"/>
          <w:szCs w:val="24"/>
        </w:rPr>
        <w:object w:dxaOrig="2160" w:dyaOrig="345" w14:anchorId="57C21873">
          <v:shape id="_x0000_i1064" type="#_x0000_t75" style="width:108pt;height:17.25pt" o:ole="" filled="t">
            <v:fill color2="black"/>
            <v:imagedata r:id="rId76" o:title=""/>
          </v:shape>
          <o:OLEObject Type="Embed" ProgID="Equation.3" ShapeID="_x0000_i1064" DrawAspect="Content" ObjectID="_1714339184" r:id="rId77"/>
        </w:object>
      </w:r>
      <w:r>
        <w:rPr>
          <w:rFonts w:ascii="Times New Roman" w:hAnsi="Times New Roman"/>
          <w:sz w:val="24"/>
          <w:szCs w:val="24"/>
        </w:rPr>
        <w:t>,</w:t>
      </w:r>
    </w:p>
    <w:p w14:paraId="01228857"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9"/>
          <w:sz w:val="24"/>
          <w:szCs w:val="24"/>
        </w:rPr>
        <w:object w:dxaOrig="4515" w:dyaOrig="375" w14:anchorId="4C30CC6B">
          <v:shape id="_x0000_i1065" type="#_x0000_t75" style="width:225.75pt;height:18.75pt" o:ole="" filled="t">
            <v:fill color2="black"/>
            <v:imagedata r:id="rId78" o:title=""/>
          </v:shape>
          <o:OLEObject Type="Embed" ProgID="Equation.3" ShapeID="_x0000_i1065" DrawAspect="Content" ObjectID="_1714339185" r:id="rId79"/>
        </w:object>
      </w:r>
      <w:r>
        <w:rPr>
          <w:rFonts w:ascii="Times New Roman" w:hAnsi="Times New Roman"/>
          <w:sz w:val="24"/>
          <w:szCs w:val="24"/>
        </w:rPr>
        <w:t>,</w:t>
      </w:r>
    </w:p>
    <w:p w14:paraId="24D5125A"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9"/>
          <w:sz w:val="24"/>
          <w:szCs w:val="24"/>
        </w:rPr>
        <w:object w:dxaOrig="2145" w:dyaOrig="375" w14:anchorId="071EFA25">
          <v:shape id="_x0000_i1066" type="#_x0000_t75" style="width:107.25pt;height:18.75pt" o:ole="" filled="t">
            <v:fill color2="black"/>
            <v:imagedata r:id="rId80" o:title=""/>
          </v:shape>
          <o:OLEObject Type="Embed" ProgID="Equation.3" ShapeID="_x0000_i1066" DrawAspect="Content" ObjectID="_1714339186" r:id="rId81"/>
        </w:object>
      </w:r>
      <w:r>
        <w:rPr>
          <w:rFonts w:ascii="Times New Roman" w:hAnsi="Times New Roman"/>
          <w:sz w:val="24"/>
          <w:szCs w:val="24"/>
        </w:rPr>
        <w:t>.</w:t>
      </w:r>
    </w:p>
    <w:p w14:paraId="1D2DC8A3" w14:textId="77777777" w:rsidR="00C831CA" w:rsidRDefault="00C831CA" w:rsidP="00C831CA">
      <w:pPr>
        <w:pStyle w:val="Equacao"/>
        <w:spacing w:line="240" w:lineRule="auto"/>
        <w:rPr>
          <w:rFonts w:ascii="Times New Roman" w:hAnsi="Times New Roman"/>
          <w:sz w:val="24"/>
          <w:szCs w:val="24"/>
        </w:rPr>
      </w:pPr>
      <w:r>
        <w:rPr>
          <w:rFonts w:ascii="Times New Roman" w:hAnsi="Times New Roman"/>
          <w:position w:val="-12"/>
          <w:sz w:val="24"/>
          <w:szCs w:val="24"/>
        </w:rPr>
        <w:object w:dxaOrig="6465" w:dyaOrig="435" w14:anchorId="4A6F05AD">
          <v:shape id="_x0000_i1067" type="#_x0000_t75" style="width:323.25pt;height:21.75pt" o:ole="" filled="t">
            <v:fill color2="black"/>
            <v:imagedata r:id="rId82" o:title=""/>
          </v:shape>
          <o:OLEObject Type="Embed" ProgID="Equation.3" ShapeID="_x0000_i1067" DrawAspect="Content" ObjectID="_1714339187" r:id="rId83"/>
        </w:object>
      </w:r>
    </w:p>
    <w:p w14:paraId="0076CE34" w14:textId="77777777" w:rsidR="00C831CA" w:rsidRDefault="00C831CA" w:rsidP="00C831CA">
      <w:pPr>
        <w:pStyle w:val="Equacao"/>
        <w:spacing w:line="240" w:lineRule="auto"/>
        <w:rPr>
          <w:rFonts w:ascii="Times New Roman" w:hAnsi="Times New Roman"/>
          <w:sz w:val="24"/>
          <w:szCs w:val="24"/>
        </w:rPr>
      </w:pPr>
    </w:p>
    <w:p w14:paraId="68D14677" w14:textId="77777777" w:rsidR="00C831CA" w:rsidRDefault="00C831CA" w:rsidP="00C831CA">
      <w:pPr>
        <w:jc w:val="both"/>
        <w:rPr>
          <w:sz w:val="24"/>
          <w:szCs w:val="24"/>
        </w:rPr>
      </w:pPr>
      <w:r>
        <w:rPr>
          <w:sz w:val="24"/>
          <w:szCs w:val="24"/>
        </w:rPr>
        <w:t xml:space="preserve">Observe que o </w:t>
      </w:r>
      <w:proofErr w:type="spellStart"/>
      <w:r>
        <w:rPr>
          <w:i/>
          <w:sz w:val="24"/>
          <w:szCs w:val="24"/>
        </w:rPr>
        <w:t>VaR</w:t>
      </w:r>
      <w:proofErr w:type="spellEnd"/>
      <w:r>
        <w:rPr>
          <w:sz w:val="24"/>
          <w:szCs w:val="24"/>
        </w:rPr>
        <w:t xml:space="preserve"> da carteira é menor que a soma dos </w:t>
      </w:r>
      <w:proofErr w:type="spellStart"/>
      <w:r>
        <w:rPr>
          <w:i/>
          <w:sz w:val="24"/>
          <w:szCs w:val="24"/>
        </w:rPr>
        <w:t>VaR</w:t>
      </w:r>
      <w:proofErr w:type="spellEnd"/>
      <w:r>
        <w:rPr>
          <w:sz w:val="24"/>
          <w:szCs w:val="24"/>
        </w:rPr>
        <w:t xml:space="preserve"> das duas ações (R$ 34.534). Esse fato é conhecido como </w:t>
      </w:r>
      <w:r>
        <w:rPr>
          <w:sz w:val="24"/>
          <w:szCs w:val="24"/>
          <w:u w:val="single"/>
        </w:rPr>
        <w:t>efeito de diversificação</w:t>
      </w:r>
      <w:r>
        <w:rPr>
          <w:sz w:val="24"/>
          <w:szCs w:val="24"/>
        </w:rPr>
        <w:t>.</w:t>
      </w:r>
    </w:p>
    <w:p w14:paraId="3E26FFA4" w14:textId="77777777" w:rsidR="00217E2D" w:rsidRDefault="00217E2D"/>
    <w:sectPr w:rsidR="00217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9"/>
    <w:lvl w:ilvl="0">
      <w:start w:val="1"/>
      <w:numFmt w:val="decimal"/>
      <w:lvlText w:val="%1."/>
      <w:lvlJc w:val="left"/>
      <w:pPr>
        <w:tabs>
          <w:tab w:val="num" w:pos="360"/>
        </w:tabs>
        <w:ind w:left="360" w:hanging="360"/>
      </w:pPr>
    </w:lvl>
  </w:abstractNum>
  <w:abstractNum w:abstractNumId="1" w15:restartNumberingAfterBreak="0">
    <w:nsid w:val="26610F65"/>
    <w:multiLevelType w:val="hybridMultilevel"/>
    <w:tmpl w:val="2354D5E6"/>
    <w:lvl w:ilvl="0" w:tplc="04160011">
      <w:start w:val="1"/>
      <w:numFmt w:val="decimal"/>
      <w:pStyle w:val="Ttulo1"/>
      <w:lvlText w:val="%1)"/>
      <w:lvlJc w:val="left"/>
      <w:pPr>
        <w:tabs>
          <w:tab w:val="num" w:pos="720"/>
        </w:tabs>
        <w:ind w:left="720" w:hanging="360"/>
      </w:pPr>
    </w:lvl>
    <w:lvl w:ilvl="1" w:tplc="04160019">
      <w:start w:val="1"/>
      <w:numFmt w:val="lowerLetter"/>
      <w:pStyle w:val="Ttulo2"/>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num w:numId="1" w16cid:durableId="1410079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878323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CA"/>
    <w:rsid w:val="00217E2D"/>
    <w:rsid w:val="00C831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F84E"/>
  <w15:chartTrackingRefBased/>
  <w15:docId w15:val="{9B21CAB1-C64B-49D1-8DDA-56F4C76C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CA"/>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C831CA"/>
    <w:pPr>
      <w:keepNext/>
      <w:numPr>
        <w:numId w:val="1"/>
      </w:numPr>
      <w:suppressAutoHyphens/>
      <w:jc w:val="both"/>
      <w:outlineLvl w:val="0"/>
    </w:pPr>
    <w:rPr>
      <w:rFonts w:ascii="Arial" w:hAnsi="Arial" w:cs="Arial"/>
      <w:b/>
      <w:bCs/>
      <w:sz w:val="24"/>
      <w:szCs w:val="24"/>
      <w:lang w:eastAsia="ar-SA"/>
    </w:rPr>
  </w:style>
  <w:style w:type="paragraph" w:styleId="Ttulo2">
    <w:name w:val="heading 2"/>
    <w:basedOn w:val="Normal"/>
    <w:next w:val="Normal"/>
    <w:link w:val="Ttulo2Char"/>
    <w:semiHidden/>
    <w:unhideWhenUsed/>
    <w:qFormat/>
    <w:rsid w:val="00C831CA"/>
    <w:pPr>
      <w:keepNext/>
      <w:numPr>
        <w:ilvl w:val="1"/>
        <w:numId w:val="1"/>
      </w:numPr>
      <w:suppressAutoHyphens/>
      <w:spacing w:before="240" w:after="60" w:line="360" w:lineRule="auto"/>
      <w:jc w:val="both"/>
      <w:outlineLvl w:val="1"/>
    </w:pPr>
    <w:rPr>
      <w:rFonts w:ascii="Arial" w:hAnsi="Arial"/>
      <w:b/>
      <w:caps/>
      <w:sz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831CA"/>
    <w:rPr>
      <w:rFonts w:ascii="Arial" w:eastAsia="Times New Roman" w:hAnsi="Arial" w:cs="Arial"/>
      <w:b/>
      <w:bCs/>
      <w:sz w:val="24"/>
      <w:szCs w:val="24"/>
      <w:lang w:eastAsia="ar-SA"/>
    </w:rPr>
  </w:style>
  <w:style w:type="character" w:customStyle="1" w:styleId="Ttulo2Char">
    <w:name w:val="Título 2 Char"/>
    <w:basedOn w:val="Fontepargpadro"/>
    <w:link w:val="Ttulo2"/>
    <w:semiHidden/>
    <w:rsid w:val="00C831CA"/>
    <w:rPr>
      <w:rFonts w:ascii="Arial" w:eastAsia="Times New Roman" w:hAnsi="Arial" w:cs="Times New Roman"/>
      <w:b/>
      <w:caps/>
      <w:szCs w:val="20"/>
      <w:lang w:eastAsia="ar-SA"/>
    </w:rPr>
  </w:style>
  <w:style w:type="paragraph" w:customStyle="1" w:styleId="NormalBusiness">
    <w:name w:val="Normal Business"/>
    <w:basedOn w:val="Normal"/>
    <w:rsid w:val="00C831CA"/>
    <w:pPr>
      <w:suppressAutoHyphens/>
      <w:spacing w:before="120"/>
      <w:jc w:val="both"/>
    </w:pPr>
    <w:rPr>
      <w:sz w:val="24"/>
      <w:lang w:eastAsia="ar-SA"/>
    </w:rPr>
  </w:style>
  <w:style w:type="paragraph" w:customStyle="1" w:styleId="LegendaFigura">
    <w:name w:val="Legenda Figura"/>
    <w:basedOn w:val="Normal"/>
    <w:rsid w:val="00C831CA"/>
    <w:pPr>
      <w:suppressAutoHyphens/>
      <w:spacing w:before="60" w:after="120" w:line="360" w:lineRule="auto"/>
      <w:jc w:val="center"/>
    </w:pPr>
    <w:rPr>
      <w:rFonts w:ascii="Arial" w:hAnsi="Arial"/>
      <w:lang w:eastAsia="ar-SA"/>
    </w:rPr>
  </w:style>
  <w:style w:type="paragraph" w:customStyle="1" w:styleId="Figura">
    <w:name w:val="Figura"/>
    <w:basedOn w:val="Normal"/>
    <w:rsid w:val="00C831CA"/>
    <w:pPr>
      <w:tabs>
        <w:tab w:val="left" w:pos="709"/>
      </w:tabs>
      <w:suppressAutoHyphens/>
      <w:spacing w:before="120" w:after="60"/>
      <w:jc w:val="center"/>
    </w:pPr>
    <w:rPr>
      <w:rFonts w:ascii="Arial" w:hAnsi="Arial"/>
      <w:lang w:eastAsia="ar-SA"/>
    </w:rPr>
  </w:style>
  <w:style w:type="paragraph" w:customStyle="1" w:styleId="LegendaEquacao">
    <w:name w:val="Legenda Equacao"/>
    <w:basedOn w:val="Normal"/>
    <w:rsid w:val="00C831CA"/>
    <w:pPr>
      <w:tabs>
        <w:tab w:val="center" w:pos="4536"/>
        <w:tab w:val="right" w:pos="9072"/>
      </w:tabs>
      <w:suppressAutoHyphens/>
      <w:spacing w:before="120" w:after="240" w:line="360" w:lineRule="auto"/>
      <w:jc w:val="both"/>
    </w:pPr>
    <w:rPr>
      <w:rFonts w:ascii="Arial" w:hAnsi="Arial"/>
      <w:lang w:eastAsia="ar-SA"/>
    </w:rPr>
  </w:style>
  <w:style w:type="paragraph" w:customStyle="1" w:styleId="Equacao">
    <w:name w:val="Equacao"/>
    <w:basedOn w:val="Normal"/>
    <w:rsid w:val="00C831CA"/>
    <w:pPr>
      <w:tabs>
        <w:tab w:val="left" w:pos="709"/>
      </w:tabs>
      <w:suppressAutoHyphens/>
      <w:spacing w:after="120" w:line="360" w:lineRule="auto"/>
      <w:jc w:val="center"/>
    </w:pPr>
    <w:rPr>
      <w:rFonts w:ascii="Arial" w:hAnsi="Arial"/>
      <w:lang w:eastAsia="ar-SA"/>
    </w:rPr>
  </w:style>
  <w:style w:type="paragraph" w:customStyle="1" w:styleId="Oscar">
    <w:name w:val="Oscar"/>
    <w:basedOn w:val="Normal"/>
    <w:rsid w:val="00C831CA"/>
    <w:pPr>
      <w:suppressAutoHyphens/>
      <w:spacing w:after="120" w:line="360" w:lineRule="auto"/>
      <w:ind w:firstLine="709"/>
      <w:jc w:val="both"/>
    </w:pPr>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fontTable" Target="fontTable.xml"/><Relationship Id="rId16" Type="http://schemas.openxmlformats.org/officeDocument/2006/relationships/oleObject" Target="embeddings/oleObject6.bin"/><Relationship Id="rId11" Type="http://schemas.openxmlformats.org/officeDocument/2006/relationships/oleObject" Target="embeddings/oleObject4.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5" Type="http://schemas.openxmlformats.org/officeDocument/2006/relationships/image" Target="media/image1.wmf"/><Relationship Id="rId19" Type="http://schemas.openxmlformats.org/officeDocument/2006/relationships/image" Target="media/image8.e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7.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oleObject" Target="embeddings/oleObject21.bin"/><Relationship Id="rId66" Type="http://schemas.openxmlformats.org/officeDocument/2006/relationships/image" Target="media/image31.wmf"/><Relationship Id="rId61" Type="http://schemas.openxmlformats.org/officeDocument/2006/relationships/oleObject" Target="embeddings/oleObject29.bin"/><Relationship Id="rId82" Type="http://schemas.openxmlformats.org/officeDocument/2006/relationships/image" Target="media/image39.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2774</Words>
  <Characters>14981</Characters>
  <Application>Microsoft Office Word</Application>
  <DocSecurity>0</DocSecurity>
  <Lines>124</Lines>
  <Paragraphs>35</Paragraphs>
  <ScaleCrop>false</ScaleCrop>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BORGES</dc:creator>
  <cp:keywords/>
  <dc:description/>
  <cp:lastModifiedBy>VITOR BORGES</cp:lastModifiedBy>
  <cp:revision>1</cp:revision>
  <cp:lastPrinted>2022-05-18T03:28:00Z</cp:lastPrinted>
  <dcterms:created xsi:type="dcterms:W3CDTF">2022-05-18T03:27:00Z</dcterms:created>
  <dcterms:modified xsi:type="dcterms:W3CDTF">2022-05-18T03:32:00Z</dcterms:modified>
</cp:coreProperties>
</file>