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7" w:type="dxa"/>
        <w:jc w:val="left"/>
        <w:tblInd w:w="0" w:type="dxa"/>
        <w:tblLayout w:type="fixed"/>
        <w:tblCellMar>
          <w:top w:w="0" w:type="dxa"/>
          <w:left w:w="70" w:type="dxa"/>
          <w:bottom w:w="0" w:type="dxa"/>
          <w:right w:w="70" w:type="dxa"/>
        </w:tblCellMar>
        <w:tblLook w:val="0000" w:noHBand="0" w:noVBand="0" w:firstColumn="0" w:lastRow="0" w:lastColumn="0" w:firstRow="0"/>
      </w:tblPr>
      <w:tblGrid>
        <w:gridCol w:w="2563"/>
        <w:gridCol w:w="7073"/>
      </w:tblGrid>
      <w:tr>
        <w:trPr>
          <w:trHeight w:val="1853" w:hRule="atLeast"/>
        </w:trPr>
        <w:tc>
          <w:tcPr>
            <w:tcW w:w="2563" w:type="dxa"/>
            <w:tcBorders/>
          </w:tcPr>
          <w:p>
            <w:pPr>
              <w:pStyle w:val="Normal"/>
              <w:widowControl w:val="false"/>
              <w:spacing w:before="0" w:after="120"/>
              <w:rPr>
                <w:b/>
                <w:b/>
                <w:bCs/>
              </w:rPr>
            </w:pPr>
            <w:r>
              <w:rPr/>
              <w:drawing>
                <wp:inline distT="0" distB="0" distL="0" distR="0">
                  <wp:extent cx="1252855" cy="1044575"/>
                  <wp:effectExtent l="0" t="0" r="0" b="0"/>
                  <wp:docPr id="1" name="Bildobjekt 1" descr="logo-svart-svensk_stor_15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logo-svart-svensk_stor_150dpi.png"/>
                          <pic:cNvPicPr>
                            <a:picLocks noChangeAspect="1" noChangeArrowheads="1"/>
                          </pic:cNvPicPr>
                        </pic:nvPicPr>
                        <pic:blipFill>
                          <a:blip r:embed="rId2"/>
                          <a:stretch>
                            <a:fillRect/>
                          </a:stretch>
                        </pic:blipFill>
                        <pic:spPr bwMode="auto">
                          <a:xfrm>
                            <a:off x="0" y="0"/>
                            <a:ext cx="1252855" cy="1044575"/>
                          </a:xfrm>
                          <a:prstGeom prst="rect">
                            <a:avLst/>
                          </a:prstGeom>
                        </pic:spPr>
                      </pic:pic>
                    </a:graphicData>
                  </a:graphic>
                </wp:inline>
              </w:drawing>
            </w:r>
          </w:p>
        </w:tc>
        <w:tc>
          <w:tcPr>
            <w:tcW w:w="7073" w:type="dxa"/>
            <w:tcBorders/>
          </w:tcPr>
          <w:p>
            <w:pPr>
              <w:pStyle w:val="Heading1"/>
              <w:widowControl w:val="false"/>
              <w:ind w:left="3506" w:hanging="0"/>
              <w:rPr/>
            </w:pPr>
            <w:r>
              <w:rPr/>
              <w:t>STOCKHOLMS UNIVERSITET</w:t>
            </w:r>
          </w:p>
          <w:p>
            <w:pPr>
              <w:pStyle w:val="Heading1"/>
              <w:widowControl w:val="false"/>
              <w:ind w:left="3506" w:hanging="0"/>
              <w:rPr/>
            </w:pPr>
            <w:r>
              <w:rPr/>
              <w:t>Statistiska institutionen</w:t>
            </w:r>
          </w:p>
          <w:p>
            <w:pPr>
              <w:pStyle w:val="Heading1"/>
              <w:widowControl w:val="false"/>
              <w:ind w:left="3506" w:hanging="0"/>
              <w:rPr/>
            </w:pPr>
            <w:r>
              <w:rPr/>
              <w:t>V</w:t>
            </w:r>
            <w:r>
              <w:rPr/>
              <w:t>T 202</w:t>
            </w:r>
            <w:r>
              <w:rPr/>
              <w:t>3</w:t>
            </w:r>
          </w:p>
          <w:p>
            <w:pPr>
              <w:pStyle w:val="Normal"/>
              <w:widowControl w:val="false"/>
              <w:ind w:left="3506" w:hanging="0"/>
              <w:rPr/>
            </w:pPr>
            <w:r>
              <w:rPr/>
            </w:r>
          </w:p>
          <w:p>
            <w:pPr>
              <w:pStyle w:val="Normal"/>
              <w:widowControl w:val="false"/>
              <w:ind w:left="3506" w:hanging="0"/>
              <w:rPr/>
            </w:pPr>
            <w:r>
              <w:rPr/>
              <w:t>Mattias</w:t>
            </w:r>
            <w:r>
              <w:rPr/>
              <w:t xml:space="preserve"> </w:t>
            </w:r>
            <w:r>
              <w:rPr/>
              <w:t>Villani</w:t>
            </w:r>
          </w:p>
          <w:p>
            <w:pPr>
              <w:pStyle w:val="Normal"/>
              <w:widowControl w:val="false"/>
              <w:ind w:left="3506" w:hanging="0"/>
              <w:rPr>
                <w:color w:val="FF0000"/>
              </w:rPr>
            </w:pPr>
            <w:r>
              <w:rPr>
                <w:color w:val="000000" w:themeColor="text1"/>
              </w:rPr>
              <w:t>202</w:t>
            </w:r>
            <w:r>
              <w:rPr>
                <w:color w:val="000000" w:themeColor="text1"/>
              </w:rPr>
              <w:t>2</w:t>
            </w:r>
            <w:r>
              <w:rPr>
                <w:color w:val="000000" w:themeColor="text1"/>
              </w:rPr>
              <w:t>-</w:t>
            </w:r>
            <w:r>
              <w:rPr>
                <w:color w:val="000000" w:themeColor="text1"/>
              </w:rPr>
              <w:t>12</w:t>
            </w:r>
            <w:r>
              <w:rPr>
                <w:color w:val="000000" w:themeColor="text1"/>
              </w:rPr>
              <w:t>-</w:t>
            </w:r>
            <w:r>
              <w:rPr>
                <w:color w:val="000000" w:themeColor="text1"/>
              </w:rPr>
              <w:t>19</w:t>
            </w:r>
          </w:p>
        </w:tc>
      </w:tr>
    </w:tbl>
    <w:p>
      <w:pPr>
        <w:pStyle w:val="Normal"/>
        <w:rPr/>
      </w:pPr>
      <w:r>
        <w:rPr/>
      </w:r>
    </w:p>
    <w:p>
      <w:pPr>
        <w:pStyle w:val="Title"/>
        <w:spacing w:before="0" w:after="60"/>
        <w:jc w:val="left"/>
        <w:rPr/>
      </w:pPr>
      <w:r>
        <w:rPr/>
        <w:t xml:space="preserve">Kursbeskrivning för </w:t>
      </w:r>
    </w:p>
    <w:p>
      <w:pPr>
        <w:pStyle w:val="Title"/>
        <w:spacing w:before="0" w:after="60"/>
        <w:jc w:val="left"/>
        <w:rPr/>
      </w:pPr>
      <w:r>
        <w:rPr/>
        <w:t xml:space="preserve">Statistik </w:t>
      </w:r>
      <w:r>
        <w:rPr/>
        <w:t>och dataanalys I</w:t>
      </w:r>
      <w:r>
        <w:rPr/>
        <w:t>, 15 högskolepoäng, ST</w:t>
      </w:r>
      <w:r>
        <w:rPr/>
        <w:t>1101</w:t>
      </w:r>
    </w:p>
    <w:p>
      <w:pPr>
        <w:pStyle w:val="Normal"/>
        <w:rPr/>
      </w:pPr>
      <w:r>
        <w:rPr/>
      </w:r>
    </w:p>
    <w:p>
      <w:pPr>
        <w:pStyle w:val="Normal"/>
        <w:rPr>
          <w:bCs/>
        </w:rPr>
      </w:pPr>
      <w:r>
        <w:rPr>
          <w:bCs/>
        </w:rPr>
      </w:r>
    </w:p>
    <w:p>
      <w:pPr>
        <w:pStyle w:val="Heading1"/>
        <w:rPr/>
      </w:pPr>
      <w:r>
        <w:rPr/>
        <w:t>KURSENS INNEHÅLL</w:t>
      </w:r>
    </w:p>
    <w:p>
      <w:pPr>
        <w:pStyle w:val="Normal"/>
        <w:rPr/>
      </w:pPr>
      <w:r>
        <w:rPr/>
      </w:r>
    </w:p>
    <w:p>
      <w:pPr>
        <w:pStyle w:val="Normal"/>
        <w:jc w:val="both"/>
        <w:rPr/>
      </w:pPr>
      <w:r>
        <w:rPr>
          <w:rStyle w:val="Tx"/>
        </w:rPr>
        <w:t>Kursen ger kunskaper om klassiska och moderna statistiska metoder för dataanalys samt dess teoretiska grunder. Centralt är förståelse för hela analysprocessen från datakällor och datainsamling, datahantering, estimering, inferens, prediktion och praktiska tillämpningar. Stor vikt läggs vid praktisk datahantering, visualisering och analys genom programmering i R. Genomgående läggs vikt vid ett kritiskt förhållningssätt vid användning av statistiska metoder och tolkning av resultat.</w:t>
      </w:r>
    </w:p>
    <w:p>
      <w:pPr>
        <w:pStyle w:val="Normal"/>
        <w:jc w:val="both"/>
        <w:rPr>
          <w:rStyle w:val="Tx"/>
        </w:rPr>
      </w:pPr>
      <w:r>
        <w:rPr/>
      </w:r>
    </w:p>
    <w:p>
      <w:pPr>
        <w:pStyle w:val="Normal"/>
        <w:jc w:val="both"/>
        <w:rPr/>
      </w:pPr>
      <w:r>
        <w:rPr>
          <w:rStyle w:val="Tx"/>
        </w:rPr>
        <w:t>Kursen behandlar:</w:t>
      </w:r>
    </w:p>
    <w:p>
      <w:pPr>
        <w:pStyle w:val="Normal"/>
        <w:jc w:val="both"/>
        <w:rPr/>
      </w:pPr>
      <w:r>
        <w:rPr>
          <w:rStyle w:val="Tx"/>
        </w:rPr>
        <w:t>- Insamlingsmetoder och datakällor</w:t>
      </w:r>
    </w:p>
    <w:p>
      <w:pPr>
        <w:pStyle w:val="Normal"/>
        <w:jc w:val="both"/>
        <w:rPr/>
      </w:pPr>
      <w:r>
        <w:rPr>
          <w:rStyle w:val="Tx"/>
        </w:rPr>
        <w:t>- Olika datatyper såsom numeriska och kategoriska men även text, bild och spatiala data</w:t>
      </w:r>
    </w:p>
    <w:p>
      <w:pPr>
        <w:pStyle w:val="Normal"/>
        <w:jc w:val="both"/>
        <w:rPr/>
      </w:pPr>
      <w:r>
        <w:rPr>
          <w:rStyle w:val="Tx"/>
        </w:rPr>
        <w:t>- Grafiska och numeriska beskrivningar av data</w:t>
      </w:r>
    </w:p>
    <w:p>
      <w:pPr>
        <w:pStyle w:val="Normal"/>
        <w:jc w:val="both"/>
        <w:rPr/>
      </w:pPr>
      <w:r>
        <w:rPr>
          <w:rStyle w:val="Tx"/>
        </w:rPr>
        <w:t>- Regressionsanalys; modeller med en och flera förklaringsvariabler, antaganden, skattning, inferens, prediktion, modellutvärdering. Kopplingen till moderna dataanalysmetoder såsom maskininlärning tas upp.</w:t>
      </w:r>
    </w:p>
    <w:p>
      <w:pPr>
        <w:pStyle w:val="Normal"/>
        <w:jc w:val="both"/>
        <w:rPr/>
      </w:pPr>
      <w:r>
        <w:rPr>
          <w:rStyle w:val="Tx"/>
        </w:rPr>
        <w:t>- Sannolikhetsteori; grundläggande begrepp, sannolikhetsmodeller, diskreta och kontinuerliga slumpvariabler, sannolikhetsfördelningar, väntevärde och varians, kovarians och korrelation, några olika standardfördelningar, linjärkombinationer av flera slumpvariabler, samplingfördelningar och centrala gränsvärdessatsen.</w:t>
      </w:r>
    </w:p>
    <w:p>
      <w:pPr>
        <w:pStyle w:val="Normal"/>
        <w:jc w:val="both"/>
        <w:rPr/>
      </w:pPr>
      <w:r>
        <w:rPr>
          <w:rStyle w:val="Tx"/>
        </w:rPr>
        <w:t>- Statistisk inferens; punkt- och intervallskattning, hypotestest, p-värden och prediktion, introduktion till likelihood och Bayesiansk inferens, chi2-test.</w:t>
      </w:r>
    </w:p>
    <w:p>
      <w:pPr>
        <w:pStyle w:val="Normal"/>
        <w:rPr/>
      </w:pPr>
      <w:r>
        <w:rPr/>
      </w:r>
    </w:p>
    <w:p>
      <w:pPr>
        <w:pStyle w:val="Normal"/>
        <w:spacing w:before="0" w:after="120"/>
        <w:rPr>
          <w:bCs/>
        </w:rPr>
      </w:pPr>
      <w:r>
        <w:rPr>
          <w:bCs/>
        </w:rPr>
        <w:t>Kursen består av två delar som examineras genom fyra prov:</w:t>
      </w:r>
    </w:p>
    <w:p>
      <w:pPr>
        <w:pStyle w:val="Normal"/>
        <w:numPr>
          <w:ilvl w:val="0"/>
          <w:numId w:val="2"/>
        </w:numPr>
        <w:tabs>
          <w:tab w:val="clear" w:pos="624"/>
          <w:tab w:val="left" w:pos="709" w:leader="none"/>
        </w:tabs>
        <w:spacing w:before="0" w:after="60"/>
        <w:ind w:left="714" w:hanging="357"/>
        <w:rPr/>
      </w:pPr>
      <w:r>
        <w:rPr/>
        <w:t>SDA I, tentamen 1</w:t>
      </w:r>
      <w:r>
        <w:rPr/>
        <w:t xml:space="preserve">, tentamen, </w:t>
      </w:r>
      <w:r>
        <w:rPr/>
        <w:t>4.5</w:t>
      </w:r>
      <w:r>
        <w:rPr/>
        <w:t xml:space="preserve"> hp, provkod 11ST</w:t>
      </w:r>
    </w:p>
    <w:p>
      <w:pPr>
        <w:pStyle w:val="Normal"/>
        <w:numPr>
          <w:ilvl w:val="0"/>
          <w:numId w:val="2"/>
        </w:numPr>
        <w:tabs>
          <w:tab w:val="clear" w:pos="624"/>
          <w:tab w:val="left" w:pos="709" w:leader="none"/>
        </w:tabs>
        <w:spacing w:before="0" w:after="60"/>
        <w:ind w:left="714" w:hanging="357"/>
        <w:rPr/>
      </w:pPr>
      <w:r>
        <w:rPr/>
        <w:t>SDA I, i</w:t>
      </w:r>
      <w:r>
        <w:rPr/>
        <w:t xml:space="preserve">nlämningsuppgift </w:t>
      </w:r>
      <w:r>
        <w:rPr/>
        <w:t>1</w:t>
      </w:r>
      <w:r>
        <w:rPr/>
        <w:t xml:space="preserve">, </w:t>
      </w:r>
      <w:r>
        <w:rPr/>
        <w:t>3</w:t>
      </w:r>
      <w:r>
        <w:rPr/>
        <w:t xml:space="preserve"> hp, provkod 12SI</w:t>
      </w:r>
    </w:p>
    <w:p>
      <w:pPr>
        <w:pStyle w:val="Normal"/>
        <w:numPr>
          <w:ilvl w:val="0"/>
          <w:numId w:val="2"/>
        </w:numPr>
        <w:tabs>
          <w:tab w:val="clear" w:pos="624"/>
          <w:tab w:val="left" w:pos="709" w:leader="none"/>
        </w:tabs>
        <w:spacing w:before="0" w:after="60"/>
        <w:ind w:left="714" w:hanging="357"/>
        <w:rPr/>
      </w:pPr>
      <w:r>
        <w:rPr/>
        <w:t>SDA I, tentamen 2</w:t>
      </w:r>
      <w:r>
        <w:rPr/>
        <w:t xml:space="preserve">, tentamen, 6 hp, provkod </w:t>
      </w:r>
      <w:r>
        <w:rPr/>
        <w:t>13</w:t>
      </w:r>
      <w:r>
        <w:rPr/>
        <w:t>ST</w:t>
      </w:r>
    </w:p>
    <w:p>
      <w:pPr>
        <w:pStyle w:val="Normal"/>
        <w:numPr>
          <w:ilvl w:val="0"/>
          <w:numId w:val="2"/>
        </w:numPr>
        <w:tabs>
          <w:tab w:val="clear" w:pos="624"/>
          <w:tab w:val="left" w:pos="709" w:leader="none"/>
        </w:tabs>
        <w:spacing w:before="0" w:after="60"/>
        <w:ind w:left="714" w:hanging="357"/>
        <w:rPr/>
      </w:pPr>
      <w:r>
        <w:rPr/>
        <w:t>SDA I, i</w:t>
      </w:r>
      <w:r>
        <w:rPr/>
        <w:t xml:space="preserve">nlämningsuppgift </w:t>
      </w:r>
      <w:r>
        <w:rPr/>
        <w:t>2</w:t>
      </w:r>
      <w:r>
        <w:rPr/>
        <w:t xml:space="preserve">, 1.5 hp, provkod </w:t>
      </w:r>
      <w:r>
        <w:rPr/>
        <w:t>14</w:t>
      </w:r>
      <w:r>
        <w:rPr/>
        <w:t>SI</w:t>
      </w:r>
    </w:p>
    <w:p>
      <w:pPr>
        <w:pStyle w:val="Normal"/>
        <w:tabs>
          <w:tab w:val="clear" w:pos="624"/>
          <w:tab w:val="left" w:pos="709" w:leader="none"/>
        </w:tabs>
        <w:spacing w:before="0" w:after="60"/>
        <w:ind w:left="714" w:hanging="0"/>
        <w:rPr/>
      </w:pPr>
      <w:r>
        <w:rPr/>
      </w:r>
    </w:p>
    <w:p>
      <w:pPr>
        <w:pStyle w:val="Normal"/>
        <w:tabs>
          <w:tab w:val="clear" w:pos="624"/>
          <w:tab w:val="left" w:pos="709" w:leader="none"/>
        </w:tabs>
        <w:spacing w:before="0" w:after="60"/>
        <w:ind w:left="714" w:hanging="0"/>
        <w:rPr/>
      </w:pPr>
      <w:r>
        <w:rPr/>
      </w:r>
    </w:p>
    <w:p>
      <w:pPr>
        <w:pStyle w:val="Heading4"/>
        <w:numPr>
          <w:ilvl w:val="0"/>
          <w:numId w:val="0"/>
        </w:numPr>
        <w:suppressAutoHyphens w:val="false"/>
        <w:ind w:left="0" w:hanging="0"/>
        <w:rPr>
          <w:bCs w:val="false"/>
          <w:caps/>
        </w:rPr>
      </w:pPr>
      <w:r>
        <w:rPr>
          <w:bCs w:val="false"/>
          <w:caps/>
        </w:rPr>
        <w:t>Kursens lärandemål OCH FÖRVÄNTADE STUDIERESULTAT</w:t>
      </w:r>
    </w:p>
    <w:p>
      <w:pPr>
        <w:pStyle w:val="Normal"/>
        <w:rPr>
          <w:b/>
          <w:b/>
        </w:rPr>
      </w:pPr>
      <w:r>
        <w:rPr>
          <w:b/>
        </w:rPr>
      </w:r>
    </w:p>
    <w:p>
      <w:pPr>
        <w:pStyle w:val="Normal"/>
        <w:rPr/>
      </w:pPr>
      <w:r>
        <w:rPr/>
        <w:t>Efter att ha genomgått kursen förväntas studenten kunna:</w:t>
      </w:r>
    </w:p>
    <w:p>
      <w:pPr>
        <w:pStyle w:val="Normal"/>
        <w:rPr/>
      </w:pPr>
      <w:r>
        <w:rPr/>
      </w:r>
    </w:p>
    <w:p>
      <w:pPr>
        <w:pStyle w:val="ListParagraph"/>
        <w:numPr>
          <w:ilvl w:val="0"/>
          <w:numId w:val="5"/>
        </w:numPr>
        <w:suppressAutoHyphens w:val="false"/>
        <w:ind w:left="426" w:hanging="426"/>
        <w:rPr/>
      </w:pPr>
      <w:r>
        <w:rPr/>
        <w:t>bearbeta data, beskriva data numeriskt och grafiskt samt utföra enklare analyser i R.</w:t>
      </w:r>
    </w:p>
    <w:p>
      <w:pPr>
        <w:pStyle w:val="ListParagraph"/>
        <w:numPr>
          <w:ilvl w:val="0"/>
          <w:numId w:val="5"/>
        </w:numPr>
        <w:suppressAutoHyphens w:val="false"/>
        <w:ind w:left="426" w:hanging="426"/>
        <w:rPr/>
      </w:pPr>
      <w:r>
        <w:rPr/>
        <w:t>redogöra för olika insamlingsmetoder och datakällor</w:t>
      </w:r>
    </w:p>
    <w:p>
      <w:pPr>
        <w:pStyle w:val="ListParagraph"/>
        <w:numPr>
          <w:ilvl w:val="0"/>
          <w:numId w:val="5"/>
        </w:numPr>
        <w:suppressAutoHyphens w:val="false"/>
        <w:ind w:left="426" w:hanging="426"/>
        <w:rPr/>
      </w:pPr>
      <w:r>
        <w:rPr/>
        <w:t>formulera statistiska modeller och lösa grundläggande problem inom sannolikhetsteori och i</w:t>
      </w:r>
      <w:r>
        <w:rPr/>
        <w:t>n</w:t>
      </w:r>
      <w:r>
        <w:rPr/>
        <w:t>ferens</w:t>
      </w:r>
    </w:p>
    <w:p>
      <w:pPr>
        <w:pStyle w:val="ListParagraph"/>
        <w:numPr>
          <w:ilvl w:val="0"/>
          <w:numId w:val="5"/>
        </w:numPr>
        <w:suppressAutoHyphens w:val="false"/>
        <w:ind w:left="426" w:hanging="426"/>
        <w:rPr/>
      </w:pPr>
      <w:r>
        <w:rPr/>
        <w:t>utföra regressionsanalys och tolka resultaten</w:t>
      </w:r>
    </w:p>
    <w:p>
      <w:pPr>
        <w:pStyle w:val="ListParagraph"/>
        <w:numPr>
          <w:ilvl w:val="0"/>
          <w:numId w:val="5"/>
        </w:numPr>
        <w:suppressAutoHyphens w:val="false"/>
        <w:ind w:left="426" w:hanging="426"/>
        <w:rPr/>
      </w:pPr>
      <w:r>
        <w:rPr/>
        <w:t>göra lämpliga metodval och kritiskt granska resultat</w:t>
      </w:r>
    </w:p>
    <w:p>
      <w:pPr>
        <w:pStyle w:val="Normal"/>
        <w:tabs>
          <w:tab w:val="clear" w:pos="624"/>
          <w:tab w:val="left" w:pos="709" w:leader="none"/>
        </w:tabs>
        <w:rPr>
          <w:szCs w:val="22"/>
        </w:rPr>
      </w:pPr>
      <w:r>
        <w:rPr>
          <w:szCs w:val="22"/>
        </w:rPr>
      </w:r>
    </w:p>
    <w:p>
      <w:pPr>
        <w:pStyle w:val="Heading1"/>
        <w:rPr>
          <w:caps/>
          <w:lang w:val="en-GB"/>
        </w:rPr>
      </w:pPr>
      <w:r>
        <w:rPr>
          <w:caps/>
          <w:lang w:val="en-GB"/>
        </w:rPr>
        <w:t>Kurslitteratur och övriga läromedel</w:t>
      </w:r>
    </w:p>
    <w:p>
      <w:pPr>
        <w:pStyle w:val="Normal"/>
        <w:rPr>
          <w:lang w:val="en-GB"/>
        </w:rPr>
      </w:pPr>
      <w:r>
        <w:rPr>
          <w:lang w:val="en-GB"/>
        </w:rPr>
      </w:r>
    </w:p>
    <w:p>
      <w:pPr>
        <w:pStyle w:val="Normal"/>
        <w:rPr/>
      </w:pPr>
      <w:r>
        <w:rPr>
          <w:lang w:val="en-US"/>
        </w:rPr>
        <w:t xml:space="preserve">Wackerly, D., Mendenhall, W. and Scheaffer, R.L. </w:t>
      </w:r>
      <w:r>
        <w:rPr>
          <w:i/>
          <w:lang w:val="en-US"/>
        </w:rPr>
        <w:t>Mathematical Statistics with Applications</w:t>
      </w:r>
      <w:r>
        <w:rPr>
          <w:lang w:val="en-US"/>
        </w:rPr>
        <w:t xml:space="preserve">. </w:t>
      </w:r>
      <w:r>
        <w:rPr/>
        <w:t>Duxbury Press. 7:e upplagan.</w:t>
      </w:r>
    </w:p>
    <w:p>
      <w:pPr>
        <w:pStyle w:val="Normal"/>
        <w:rPr/>
      </w:pPr>
      <w:r>
        <w:rPr/>
      </w:r>
    </w:p>
    <w:p>
      <w:pPr>
        <w:pStyle w:val="Normal"/>
        <w:rPr>
          <w:i/>
          <w:i/>
        </w:rPr>
      </w:pPr>
      <w:r>
        <w:rPr/>
        <w:t xml:space="preserve">Dunkels, A., Klefsjö, B., Nilsson, I., Näslund, R. och Vännman, K. </w:t>
      </w:r>
      <w:r>
        <w:rPr>
          <w:i/>
        </w:rPr>
        <w:t>Mot bättre vetande i  matematik</w:t>
      </w:r>
      <w:r>
        <w:rPr/>
        <w:t>. Studentlitteratur, Lund. 3:e upplagan.</w:t>
      </w:r>
    </w:p>
    <w:p>
      <w:pPr>
        <w:pStyle w:val="Normal"/>
        <w:rPr/>
      </w:pPr>
      <w:r>
        <w:rPr/>
      </w:r>
    </w:p>
    <w:p>
      <w:pPr>
        <w:pStyle w:val="Normal"/>
        <w:jc w:val="both"/>
        <w:rPr/>
      </w:pPr>
      <w:r>
        <w:rPr>
          <w:i/>
        </w:rPr>
        <w:t>Mot bättre vetande i matematik</w:t>
      </w:r>
      <w:r>
        <w:rPr/>
        <w:t xml:space="preserve"> används för matematikdelarna, vid sidan av huvudboken </w:t>
      </w:r>
      <w:r>
        <w:rPr>
          <w:i/>
        </w:rPr>
        <w:t>Mathematical Statistics with Applications</w:t>
      </w:r>
      <w:r>
        <w:rPr/>
        <w:t>. Övrigt kursmaterial såsom extra övningsuppgifter, instruktioner till inlämningsuppgifter, tidigare tentor samt formel- och tabellsamling läggs upp på Athena.</w:t>
      </w:r>
    </w:p>
    <w:p>
      <w:pPr>
        <w:pStyle w:val="Normal"/>
        <w:rPr/>
      </w:pPr>
      <w:r>
        <w:rPr/>
      </w:r>
    </w:p>
    <w:p>
      <w:pPr>
        <w:pStyle w:val="Heading1"/>
        <w:rPr>
          <w:caps/>
        </w:rPr>
      </w:pPr>
      <w:r>
        <w:rPr>
          <w:caps/>
        </w:rPr>
        <w:t>Examinator, kursansvarig och ALLMÄN InFORMATION</w:t>
      </w:r>
    </w:p>
    <w:p>
      <w:pPr>
        <w:pStyle w:val="Normal"/>
        <w:rPr/>
      </w:pPr>
      <w:r>
        <w:rPr/>
      </w:r>
    </w:p>
    <w:p>
      <w:pPr>
        <w:pStyle w:val="Normal"/>
        <w:rPr/>
      </w:pPr>
      <w:r>
        <w:rPr/>
        <w:t xml:space="preserve">Kursansvarig och examinator: Jessica Franzén, e-post: </w:t>
      </w:r>
      <w:hyperlink r:id="rId3">
        <w:r>
          <w:rPr>
            <w:rStyle w:val="InternetLink"/>
          </w:rPr>
          <w:t>jessica.franzen@stat.su.se</w:t>
        </w:r>
      </w:hyperlink>
    </w:p>
    <w:p>
      <w:pPr>
        <w:pStyle w:val="Normal"/>
        <w:rPr/>
      </w:pPr>
      <w:r>
        <w:rPr/>
        <w:t>Mottagningstid: Efter överenskommelse.</w:t>
      </w:r>
    </w:p>
    <w:p>
      <w:pPr>
        <w:pStyle w:val="Normal"/>
        <w:rPr/>
      </w:pPr>
      <w:r>
        <w:rPr/>
      </w:r>
    </w:p>
    <w:p>
      <w:pPr>
        <w:pStyle w:val="Normal"/>
        <w:rPr/>
      </w:pPr>
      <w:r>
        <w:rPr/>
        <w:t xml:space="preserve">Föreläsare, del I: Jessica Franzén (se ovan). </w:t>
      </w:r>
    </w:p>
    <w:p>
      <w:pPr>
        <w:pStyle w:val="Normal"/>
        <w:rPr/>
      </w:pPr>
      <w:r>
        <w:rPr/>
      </w:r>
    </w:p>
    <w:p>
      <w:pPr>
        <w:pStyle w:val="Normal"/>
        <w:rPr/>
      </w:pPr>
      <w:r>
        <w:rPr/>
        <w:t xml:space="preserve">Föreläsare, del II: Hans Nyquist, </w:t>
      </w:r>
    </w:p>
    <w:p>
      <w:pPr>
        <w:pStyle w:val="Normal"/>
        <w:rPr>
          <w:lang w:val="en-US"/>
        </w:rPr>
      </w:pPr>
      <w:r>
        <w:rPr>
          <w:lang w:val="en-US"/>
        </w:rPr>
        <w:t xml:space="preserve">E-post: </w:t>
      </w:r>
      <w:hyperlink r:id="rId4">
        <w:r>
          <w:rPr>
            <w:rStyle w:val="InternetLink"/>
            <w:lang w:val="en-US"/>
          </w:rPr>
          <w:t>hans.nyquist@stat.su.se</w:t>
        </w:r>
      </w:hyperlink>
      <w:r>
        <w:rPr>
          <w:lang w:val="en-US"/>
        </w:rPr>
        <w:t xml:space="preserve"> </w:t>
      </w:r>
    </w:p>
    <w:p>
      <w:pPr>
        <w:pStyle w:val="Normal"/>
        <w:rPr/>
      </w:pPr>
      <w:r>
        <w:rPr/>
        <w:t xml:space="preserve">Mottagningstid: Efter överenskommelse. </w:t>
      </w:r>
    </w:p>
    <w:p>
      <w:pPr>
        <w:pStyle w:val="Normal"/>
        <w:rPr/>
      </w:pPr>
      <w:r>
        <w:rPr/>
      </w:r>
    </w:p>
    <w:p>
      <w:pPr>
        <w:pStyle w:val="Normal"/>
        <w:rPr>
          <w:lang w:val="it-IT"/>
        </w:rPr>
      </w:pPr>
      <w:r>
        <w:rPr>
          <w:color w:val="000000" w:themeColor="text1"/>
          <w:lang w:val="it-IT"/>
        </w:rPr>
        <w:t>Plenara övningar och Jour: Oscar Oelrich</w:t>
      </w:r>
    </w:p>
    <w:p>
      <w:pPr>
        <w:pStyle w:val="Normal"/>
        <w:rPr>
          <w:color w:val="000000" w:themeColor="text1"/>
          <w:lang w:val="it-IT"/>
        </w:rPr>
      </w:pPr>
      <w:r>
        <w:rPr>
          <w:color w:val="000000" w:themeColor="text1"/>
          <w:lang w:val="en-US"/>
        </w:rPr>
        <w:t xml:space="preserve">E-post: </w:t>
      </w:r>
      <w:hyperlink r:id="rId5">
        <w:r>
          <w:rPr>
            <w:rStyle w:val="InternetLink"/>
            <w:lang w:val="it-IT"/>
          </w:rPr>
          <w:t>oscar.oelrich@stat.su.se</w:t>
        </w:r>
      </w:hyperlink>
    </w:p>
    <w:p>
      <w:pPr>
        <w:pStyle w:val="Normal"/>
        <w:rPr>
          <w:color w:val="000000" w:themeColor="text1"/>
        </w:rPr>
      </w:pPr>
      <w:r>
        <w:rPr>
          <w:color w:val="000000" w:themeColor="text1"/>
        </w:rPr>
        <w:t xml:space="preserve">Mottagningstid: </w:t>
      </w:r>
      <w:r>
        <w:rPr/>
        <w:t>Efter överenskommelse.</w:t>
      </w:r>
    </w:p>
    <w:p>
      <w:pPr>
        <w:pStyle w:val="Normal"/>
        <w:rPr/>
      </w:pPr>
      <w:r>
        <w:rPr/>
      </w:r>
    </w:p>
    <w:p>
      <w:pPr>
        <w:pStyle w:val="Normal"/>
        <w:rPr>
          <w:lang w:val="it-IT"/>
        </w:rPr>
      </w:pPr>
      <w:r>
        <w:rPr>
          <w:color w:val="000000" w:themeColor="text1"/>
          <w:lang w:val="it-IT"/>
        </w:rPr>
        <w:t xml:space="preserve">Dataövningar: </w:t>
      </w:r>
      <w:r>
        <w:rPr>
          <w:lang w:val="it-IT"/>
        </w:rPr>
        <w:t>Masar al Mosawi</w:t>
      </w:r>
    </w:p>
    <w:p>
      <w:pPr>
        <w:pStyle w:val="Normal"/>
        <w:rPr>
          <w:color w:val="000000" w:themeColor="text1"/>
          <w:lang w:val="en-US"/>
        </w:rPr>
      </w:pPr>
      <w:r>
        <w:rPr>
          <w:color w:val="000000" w:themeColor="text1"/>
          <w:lang w:val="en-US"/>
        </w:rPr>
        <w:t xml:space="preserve">E-post: </w:t>
      </w:r>
      <w:hyperlink r:id="rId6">
        <w:r>
          <w:rPr>
            <w:rStyle w:val="InternetLink"/>
            <w:lang w:val="en-US"/>
          </w:rPr>
          <w:t>masar.al-mosawi@stat.su.se</w:t>
        </w:r>
      </w:hyperlink>
    </w:p>
    <w:p>
      <w:pPr>
        <w:pStyle w:val="Normal"/>
        <w:rPr>
          <w:color w:val="000000" w:themeColor="text1"/>
        </w:rPr>
      </w:pPr>
      <w:r>
        <w:rPr>
          <w:color w:val="000000" w:themeColor="text1"/>
        </w:rPr>
        <w:t xml:space="preserve">Mottagningstid: </w:t>
      </w:r>
      <w:r>
        <w:rPr/>
        <w:t>Efter överenskommelse.</w:t>
      </w:r>
    </w:p>
    <w:p>
      <w:pPr>
        <w:pStyle w:val="Normal"/>
        <w:rPr/>
      </w:pPr>
      <w:r>
        <w:rPr/>
      </w:r>
    </w:p>
    <w:p>
      <w:pPr>
        <w:pStyle w:val="Normal"/>
        <w:jc w:val="both"/>
        <w:rPr/>
      </w:pPr>
      <w:r>
        <w:rPr>
          <w:color w:val="000000" w:themeColor="text1"/>
        </w:rPr>
        <w:t xml:space="preserve">Statistiska institutionen ligger i nybyggda Campus Albano, Albanovägen 12, Hus 4, plan 6. </w:t>
      </w:r>
      <w:r>
        <w:rPr/>
        <w:t xml:space="preserve">Allmän information om institutionen finns på </w:t>
      </w:r>
      <w:hyperlink r:id="rId7">
        <w:r>
          <w:rPr>
            <w:rStyle w:val="InternetLink"/>
          </w:rPr>
          <w:t>www.statistics.su.se</w:t>
        </w:r>
      </w:hyperlink>
      <w:r>
        <w:rPr/>
        <w:t xml:space="preserve"> Information om kursen hittas via kurshemsidan: </w:t>
      </w:r>
      <w:hyperlink r:id="rId8">
        <w:r>
          <w:rPr>
            <w:rStyle w:val="InternetLink"/>
          </w:rPr>
          <w:t>https://www.su.se/sok-kurser-och-program/st211g-1.411704</w:t>
        </w:r>
      </w:hyperlink>
    </w:p>
    <w:p>
      <w:pPr>
        <w:pStyle w:val="Normal"/>
        <w:jc w:val="both"/>
        <w:rPr/>
      </w:pPr>
      <w:r>
        <w:rPr/>
      </w:r>
    </w:p>
    <w:p>
      <w:pPr>
        <w:pStyle w:val="Normal"/>
        <w:rPr/>
      </w:pPr>
      <w:r>
        <w:rPr/>
      </w:r>
    </w:p>
    <w:p>
      <w:pPr>
        <w:pStyle w:val="Normal"/>
        <w:rPr/>
      </w:pPr>
      <w:r>
        <w:rPr/>
      </w:r>
    </w:p>
    <w:p>
      <w:pPr>
        <w:pStyle w:val="Normal"/>
        <w:rPr/>
      </w:pPr>
      <w:r>
        <w:rPr/>
      </w:r>
    </w:p>
    <w:p>
      <w:pPr>
        <w:pStyle w:val="Normal"/>
        <w:rPr/>
      </w:pPr>
      <w:r>
        <w:rPr/>
      </w:r>
    </w:p>
    <w:p>
      <w:pPr>
        <w:pStyle w:val="Heading1"/>
        <w:rPr/>
      </w:pPr>
      <w:r>
        <w:rPr/>
        <w:t>KURSUTVÄRDERING</w:t>
      </w:r>
    </w:p>
    <w:p>
      <w:pPr>
        <w:pStyle w:val="Normal"/>
        <w:rPr/>
      </w:pPr>
      <w:r>
        <w:rPr/>
      </w:r>
    </w:p>
    <w:p>
      <w:pPr>
        <w:pStyle w:val="Normal"/>
        <w:jc w:val="both"/>
        <w:rPr/>
      </w:pPr>
      <w:r>
        <w:rPr/>
        <w:t>Efter att kursen är avslutad görs en utvärdering av kursen. Kursutvärderingen används som underlag för kvalitetsarbetet med kursen och som ett led i studentinflytandet. Utvärderingen utförs genom att en enkät skickas via mejl till samtliga registrerade kursdeltagare. Kursdeltagarnas svar på enkäten sammanställs och läggs tillsammans med den kursansvariga lärarens slutrapport/kursutvärdering upp på Athena.</w:t>
      </w:r>
    </w:p>
    <w:p>
      <w:pPr>
        <w:pStyle w:val="Normal"/>
        <w:jc w:val="both"/>
        <w:rPr/>
      </w:pPr>
      <w:r>
        <w:rPr/>
      </w:r>
    </w:p>
    <w:p>
      <w:pPr>
        <w:pStyle w:val="Heading1"/>
        <w:rPr/>
      </w:pPr>
      <w:r>
        <w:rPr/>
        <w:t>UNDERVISNING</w:t>
      </w:r>
    </w:p>
    <w:p>
      <w:pPr>
        <w:pStyle w:val="Normal"/>
        <w:rPr>
          <w:szCs w:val="20"/>
        </w:rPr>
      </w:pPr>
      <w:r>
        <w:rPr>
          <w:szCs w:val="20"/>
        </w:rPr>
      </w:r>
    </w:p>
    <w:p>
      <w:pPr>
        <w:pStyle w:val="Normal"/>
        <w:jc w:val="both"/>
        <w:rPr/>
      </w:pPr>
      <w:r>
        <w:rPr/>
        <w:t xml:space="preserve">Undervisningen består av 26 </w:t>
      </w:r>
      <w:r>
        <w:rPr>
          <w:b/>
          <w:bCs/>
        </w:rPr>
        <w:t>föreläsningar</w:t>
      </w:r>
      <w:r>
        <w:rPr/>
        <w:t xml:space="preserve"> (F1-F13, Del I och II), 5 </w:t>
      </w:r>
      <w:r>
        <w:rPr>
          <w:b/>
          <w:bCs/>
        </w:rPr>
        <w:t>plenara matematikövningar</w:t>
      </w:r>
      <w:r>
        <w:rPr/>
        <w:t xml:space="preserve"> (MÖ1-MÖ5 Del I), 12 </w:t>
      </w:r>
      <w:r>
        <w:rPr>
          <w:b/>
          <w:bCs/>
        </w:rPr>
        <w:t>plenara statistikövningar</w:t>
      </w:r>
      <w:r>
        <w:rPr/>
        <w:t xml:space="preserve"> (SÖ1-SÖ6, Del I och II), 2 </w:t>
      </w:r>
      <w:r>
        <w:rPr>
          <w:b/>
          <w:bCs/>
        </w:rPr>
        <w:t>plenara extraövningar</w:t>
      </w:r>
      <w:r>
        <w:rPr/>
        <w:t xml:space="preserve"> (Ö1-Ö2 Del II) och 7 </w:t>
      </w:r>
      <w:r>
        <w:rPr>
          <w:b/>
          <w:bCs/>
        </w:rPr>
        <w:t xml:space="preserve">datorövningar </w:t>
      </w:r>
      <w:r>
        <w:rPr/>
        <w:t xml:space="preserve">(D1-D4 Del I och D1-D3 Del II) enligt schema, se länk till Time edit på kurshemsidan, </w:t>
      </w:r>
      <w:hyperlink r:id="rId9">
        <w:r>
          <w:rPr>
            <w:rStyle w:val="InternetLink"/>
          </w:rPr>
          <w:t>https://www.su.se/sok-kurser-och-program/st211g-1.411704</w:t>
        </w:r>
      </w:hyperlink>
    </w:p>
    <w:p>
      <w:pPr>
        <w:pStyle w:val="Normal"/>
        <w:jc w:val="both"/>
        <w:rPr>
          <w:szCs w:val="20"/>
        </w:rPr>
      </w:pPr>
      <w:r>
        <w:rPr>
          <w:szCs w:val="20"/>
        </w:rPr>
        <w:t>En beskrivning av innehållet samt läsanvisningar till kurslitteraturen ges i avsnittet Undervisningsplan nedan.</w:t>
      </w:r>
    </w:p>
    <w:p>
      <w:pPr>
        <w:pStyle w:val="Normal"/>
        <w:jc w:val="both"/>
        <w:rPr>
          <w:szCs w:val="20"/>
        </w:rPr>
      </w:pPr>
      <w:r>
        <w:rPr>
          <w:szCs w:val="20"/>
        </w:rPr>
      </w:r>
    </w:p>
    <w:p>
      <w:pPr>
        <w:pStyle w:val="Normal"/>
        <w:jc w:val="both"/>
        <w:rPr>
          <w:szCs w:val="20"/>
        </w:rPr>
      </w:pPr>
      <w:r>
        <w:rPr>
          <w:szCs w:val="20"/>
        </w:rPr>
        <w:t xml:space="preserve">Under kursens gång finns </w:t>
      </w:r>
      <w:r>
        <w:rPr>
          <w:b/>
          <w:bCs/>
          <w:szCs w:val="20"/>
        </w:rPr>
        <w:t>jour</w:t>
      </w:r>
      <w:r>
        <w:rPr>
          <w:szCs w:val="20"/>
        </w:rPr>
        <w:t xml:space="preserve"> schemalagd en gång per vecka, det är frivilligt att delta. Under jouren finns möjlighet att få hjälp med räkneuppgifter eller fråga om kursinnehåll man inte förstår.  </w:t>
      </w:r>
    </w:p>
    <w:p>
      <w:pPr>
        <w:pStyle w:val="Normal"/>
        <w:rPr>
          <w:szCs w:val="20"/>
        </w:rPr>
      </w:pPr>
      <w:r>
        <w:rPr>
          <w:szCs w:val="20"/>
        </w:rPr>
      </w:r>
    </w:p>
    <w:p>
      <w:pPr>
        <w:pStyle w:val="Heading1"/>
        <w:rPr>
          <w:i/>
          <w:i/>
          <w:iCs/>
        </w:rPr>
      </w:pPr>
      <w:r>
        <w:rPr/>
        <w:t>OBLIGATORISK NÄRVARO</w:t>
      </w:r>
    </w:p>
    <w:p>
      <w:pPr>
        <w:pStyle w:val="ListParagraph"/>
        <w:numPr>
          <w:ilvl w:val="0"/>
          <w:numId w:val="6"/>
        </w:numPr>
        <w:suppressAutoHyphens w:val="false"/>
        <w:ind w:left="426" w:hanging="426"/>
        <w:jc w:val="both"/>
        <w:rPr/>
      </w:pPr>
      <w:r>
        <w:rPr/>
        <w:t xml:space="preserve">På de två undervisningstillfällena </w:t>
      </w:r>
      <w:r>
        <w:rPr>
          <w:b/>
        </w:rPr>
        <w:t xml:space="preserve">D1, </w:t>
      </w:r>
      <w:r>
        <w:rPr/>
        <w:t xml:space="preserve">Del I och II ges information om vad som gäller för inlämningsuppgift I respektive inlämningsuppgift II samt görs indelning i arbetsgrupper. Dessa tillfällen är kurskrav för att få godkänt betyg på Prov 2 (Inlämningsuppgift i Statistisk teori med tillämpningar I) respektive Prov 4 (Inlämningsuppgift i Statistisk teori med tillämpningar II). Kontakta din seminarielärare </w:t>
      </w:r>
      <w:r>
        <w:rPr>
          <w:b/>
        </w:rPr>
        <w:t>före</w:t>
      </w:r>
      <w:r>
        <w:rPr/>
        <w:t xml:space="preserve"> övningstillfället vid förhinder. </w:t>
      </w:r>
    </w:p>
    <w:p>
      <w:pPr>
        <w:pStyle w:val="ListParagraph"/>
        <w:numPr>
          <w:ilvl w:val="0"/>
          <w:numId w:val="6"/>
        </w:numPr>
        <w:suppressAutoHyphens w:val="false"/>
        <w:ind w:left="426" w:hanging="426"/>
        <w:jc w:val="both"/>
        <w:rPr/>
      </w:pPr>
      <w:r>
        <w:rPr/>
        <w:t xml:space="preserve">Datorövningarna </w:t>
      </w:r>
      <w:r>
        <w:rPr>
          <w:b/>
        </w:rPr>
        <w:t>D1</w:t>
      </w:r>
      <w:r>
        <w:rPr/>
        <w:t xml:space="preserve">, </w:t>
      </w:r>
      <w:r>
        <w:rPr>
          <w:b/>
        </w:rPr>
        <w:t>D2</w:t>
      </w:r>
      <w:r>
        <w:rPr/>
        <w:t xml:space="preserve"> och </w:t>
      </w:r>
      <w:r>
        <w:rPr>
          <w:b/>
        </w:rPr>
        <w:t xml:space="preserve">D3 </w:t>
      </w:r>
      <w:r>
        <w:rPr/>
        <w:t xml:space="preserve">(Del I) respektive </w:t>
      </w:r>
      <w:r>
        <w:rPr>
          <w:b/>
        </w:rPr>
        <w:t>D1</w:t>
      </w:r>
      <w:r>
        <w:rPr/>
        <w:t xml:space="preserve"> och </w:t>
      </w:r>
      <w:r>
        <w:rPr>
          <w:b/>
        </w:rPr>
        <w:t xml:space="preserve">D2 </w:t>
      </w:r>
      <w:r>
        <w:rPr/>
        <w:t>(Del II)</w:t>
      </w:r>
      <w:r>
        <w:rPr>
          <w:b/>
        </w:rPr>
        <w:t xml:space="preserve"> </w:t>
      </w:r>
      <w:r>
        <w:rPr/>
        <w:t xml:space="preserve">är kurskrav för att få godkänt betyg på Prov 2 (Inlämningsuppgift i Statistisk teori med tillämpningar I) respektive Prov 4 (Inlämningsuppgift i Statistisk teori med tillämpningar II). Frånvaro från en datorövning innebär att kompletteringsuppgift(/er) måste lämnas in </w:t>
      </w:r>
      <w:r>
        <w:rPr>
          <w:color w:val="000000" w:themeColor="text1"/>
        </w:rPr>
        <w:t xml:space="preserve">senast </w:t>
      </w:r>
      <w:r>
        <w:rPr>
          <w:b/>
          <w:color w:val="000000" w:themeColor="text1"/>
        </w:rPr>
        <w:t>den 7 oktober</w:t>
      </w:r>
      <w:r>
        <w:rPr>
          <w:color w:val="000000" w:themeColor="text1"/>
        </w:rPr>
        <w:t xml:space="preserve"> respektive </w:t>
      </w:r>
      <w:r>
        <w:rPr>
          <w:b/>
          <w:color w:val="000000" w:themeColor="text1"/>
        </w:rPr>
        <w:t>den 8 november</w:t>
      </w:r>
      <w:r>
        <w:rPr>
          <w:color w:val="000000" w:themeColor="text1"/>
        </w:rPr>
        <w:t xml:space="preserve">. </w:t>
      </w:r>
      <w:r>
        <w:rPr/>
        <w:t>Instruktioner för kompletteringsuppgiften(/erna) delas ut av seminarieläraren.</w:t>
      </w:r>
    </w:p>
    <w:p>
      <w:pPr>
        <w:pStyle w:val="ListParagraph"/>
        <w:numPr>
          <w:ilvl w:val="0"/>
          <w:numId w:val="6"/>
        </w:numPr>
        <w:suppressAutoHyphens w:val="false"/>
        <w:ind w:left="426" w:hanging="426"/>
        <w:jc w:val="both"/>
        <w:rPr/>
      </w:pPr>
      <w:r>
        <w:rPr>
          <w:b/>
        </w:rPr>
        <w:t>Obs!</w:t>
      </w:r>
      <w:r>
        <w:rPr/>
        <w:t xml:space="preserve"> Detta gäller även för omregistrerade studenter.</w:t>
      </w:r>
    </w:p>
    <w:p>
      <w:pPr>
        <w:pStyle w:val="ListParagraph"/>
        <w:suppressAutoHyphens w:val="false"/>
        <w:ind w:left="426" w:hanging="0"/>
        <w:jc w:val="both"/>
        <w:rPr/>
      </w:pPr>
      <w:r>
        <w:rPr/>
      </w:r>
    </w:p>
    <w:p>
      <w:pPr>
        <w:pStyle w:val="Heading1"/>
        <w:rPr>
          <w:i/>
          <w:i/>
          <w:iCs/>
        </w:rPr>
      </w:pPr>
      <w:r>
        <w:rPr/>
        <w:t>KUNSKAPSKONTROLL OCH EXAMINATION</w:t>
      </w:r>
    </w:p>
    <w:p>
      <w:pPr>
        <w:pStyle w:val="Normal"/>
        <w:rPr/>
      </w:pPr>
      <w:r>
        <w:rPr/>
      </w:r>
    </w:p>
    <w:p>
      <w:pPr>
        <w:pStyle w:val="TextBody"/>
        <w:spacing w:before="0" w:after="120"/>
        <w:rPr/>
      </w:pPr>
      <w:r>
        <w:rPr/>
        <w:t>Kursen examineras genom kunskapskontroll av de förväntade studieresultaten. Kunskapskontrollen sker genom skriftliga prov i form av individuella salstentor och skriftliga redovisningar av gruppuppgifter. Betygssättning av Prov 2 och Prov 4 (inlämningsuppgift I och II) sker enligt en tvågradig betygs</w:t>
        <w:softHyphen/>
        <w:t xml:space="preserve">skala med betygen godkänd (G) och underkänd (U). Betygssättning av Prov 1 och Prov 3 (tentamen I och II) sker enligt en sjugradig målrelaterad betygsskala: </w:t>
      </w:r>
    </w:p>
    <w:p>
      <w:pPr>
        <w:pStyle w:val="Normal"/>
        <w:tabs>
          <w:tab w:val="clear" w:pos="624"/>
          <w:tab w:val="left" w:pos="709" w:leader="none"/>
          <w:tab w:val="left" w:pos="1134" w:leader="none"/>
        </w:tabs>
        <w:ind w:left="284" w:hanging="0"/>
        <w:rPr/>
      </w:pPr>
      <w:r>
        <w:rPr/>
        <w:t>A</w:t>
        <w:tab/>
        <w:t>=</w:t>
        <w:tab/>
        <w:t>Utmärkt</w:t>
      </w:r>
    </w:p>
    <w:p>
      <w:pPr>
        <w:pStyle w:val="Normal"/>
        <w:tabs>
          <w:tab w:val="clear" w:pos="624"/>
          <w:tab w:val="left" w:pos="709" w:leader="none"/>
          <w:tab w:val="left" w:pos="1134" w:leader="none"/>
        </w:tabs>
        <w:ind w:left="284" w:hanging="0"/>
        <w:rPr/>
      </w:pPr>
      <w:r>
        <w:rPr/>
        <w:t>B</w:t>
        <w:tab/>
        <w:t>=</w:t>
        <w:tab/>
        <w:t>Mycket bra</w:t>
      </w:r>
    </w:p>
    <w:p>
      <w:pPr>
        <w:pStyle w:val="Normal"/>
        <w:tabs>
          <w:tab w:val="clear" w:pos="624"/>
          <w:tab w:val="left" w:pos="709" w:leader="none"/>
          <w:tab w:val="left" w:pos="1134" w:leader="none"/>
        </w:tabs>
        <w:ind w:left="284" w:hanging="0"/>
        <w:rPr/>
      </w:pPr>
      <w:r>
        <w:rPr/>
        <w:t>C</w:t>
        <w:tab/>
        <w:t>=</w:t>
        <w:tab/>
        <w:t xml:space="preserve">Bra </w:t>
      </w:r>
    </w:p>
    <w:p>
      <w:pPr>
        <w:pStyle w:val="Normal"/>
        <w:tabs>
          <w:tab w:val="clear" w:pos="624"/>
          <w:tab w:val="left" w:pos="709" w:leader="none"/>
          <w:tab w:val="left" w:pos="1134" w:leader="none"/>
        </w:tabs>
        <w:ind w:left="284" w:hanging="0"/>
        <w:rPr/>
      </w:pPr>
      <w:r>
        <w:rPr/>
        <w:t>D</w:t>
        <w:tab/>
        <w:t>=</w:t>
        <w:tab/>
        <w:t>Tillfredsställande</w:t>
      </w:r>
    </w:p>
    <w:p>
      <w:pPr>
        <w:pStyle w:val="Normal"/>
        <w:tabs>
          <w:tab w:val="clear" w:pos="624"/>
          <w:tab w:val="left" w:pos="709" w:leader="none"/>
          <w:tab w:val="left" w:pos="1134" w:leader="none"/>
        </w:tabs>
        <w:ind w:left="284" w:hanging="0"/>
        <w:rPr/>
      </w:pPr>
      <w:r>
        <w:rPr/>
        <w:t>E</w:t>
        <w:tab/>
        <w:t>=</w:t>
        <w:tab/>
        <w:t>Tillräckligt</w:t>
      </w:r>
    </w:p>
    <w:p>
      <w:pPr>
        <w:pStyle w:val="Normal"/>
        <w:tabs>
          <w:tab w:val="clear" w:pos="624"/>
          <w:tab w:val="left" w:pos="709" w:leader="none"/>
          <w:tab w:val="left" w:pos="1134" w:leader="none"/>
        </w:tabs>
        <w:ind w:left="284" w:hanging="0"/>
        <w:rPr/>
      </w:pPr>
      <w:r>
        <w:rPr/>
        <w:t>Fx</w:t>
        <w:tab/>
        <w:t>=</w:t>
        <w:tab/>
        <w:t>Underkänd, något mer arbete krävs</w:t>
      </w:r>
    </w:p>
    <w:p>
      <w:pPr>
        <w:pStyle w:val="Normal"/>
        <w:tabs>
          <w:tab w:val="clear" w:pos="624"/>
          <w:tab w:val="left" w:pos="709" w:leader="none"/>
          <w:tab w:val="left" w:pos="1134" w:leader="none"/>
        </w:tabs>
        <w:ind w:left="284" w:hanging="0"/>
        <w:rPr/>
      </w:pPr>
      <w:r>
        <w:rPr/>
        <w:t>F</w:t>
        <w:tab/>
        <w:t>=</w:t>
        <w:tab/>
        <w:t>Underkänd, mycket mer arbete krävs</w:t>
      </w:r>
    </w:p>
    <w:p>
      <w:pPr>
        <w:pStyle w:val="Normal"/>
        <w:rPr>
          <w:szCs w:val="22"/>
          <w:u w:val="single"/>
        </w:rPr>
      </w:pPr>
      <w:r>
        <w:rPr>
          <w:szCs w:val="22"/>
          <w:u w:val="single"/>
        </w:rPr>
      </w:r>
    </w:p>
    <w:p>
      <w:pPr>
        <w:pStyle w:val="Normal"/>
        <w:rPr>
          <w:szCs w:val="22"/>
          <w:u w:val="single"/>
        </w:rPr>
      </w:pPr>
      <w:r>
        <w:rPr>
          <w:szCs w:val="22"/>
          <w:u w:val="single"/>
        </w:rPr>
      </w:r>
    </w:p>
    <w:p>
      <w:pPr>
        <w:pStyle w:val="Normal"/>
        <w:rPr>
          <w:szCs w:val="22"/>
          <w:u w:val="single"/>
        </w:rPr>
      </w:pPr>
      <w:r>
        <w:rPr>
          <w:szCs w:val="22"/>
          <w:u w:val="single"/>
        </w:rPr>
      </w:r>
    </w:p>
    <w:p>
      <w:pPr>
        <w:pStyle w:val="Normal"/>
        <w:rPr>
          <w:szCs w:val="22"/>
          <w:u w:val="single"/>
        </w:rPr>
      </w:pPr>
      <w:r>
        <w:rPr>
          <w:szCs w:val="22"/>
          <w:u w:val="single"/>
        </w:rPr>
      </w:r>
    </w:p>
    <w:p>
      <w:pPr>
        <w:pStyle w:val="Heading4"/>
        <w:numPr>
          <w:ilvl w:val="3"/>
          <w:numId w:val="1"/>
        </w:numPr>
        <w:rPr>
          <w:u w:val="single"/>
        </w:rPr>
      </w:pPr>
      <w:r>
        <w:rPr>
          <w:u w:val="single"/>
        </w:rPr>
        <w:t>Sammanvägt betyg på hela kursen</w:t>
      </w:r>
    </w:p>
    <w:p>
      <w:pPr>
        <w:pStyle w:val="Normal"/>
        <w:rPr/>
      </w:pPr>
      <w:r>
        <w:rPr/>
      </w:r>
    </w:p>
    <w:p>
      <w:pPr>
        <w:pStyle w:val="Normal"/>
        <w:tabs>
          <w:tab w:val="clear" w:pos="624"/>
          <w:tab w:val="left" w:pos="426" w:leader="none"/>
        </w:tabs>
        <w:spacing w:before="0" w:after="60"/>
        <w:rPr>
          <w:szCs w:val="22"/>
        </w:rPr>
      </w:pPr>
      <w:r>
        <w:rPr>
          <w:szCs w:val="22"/>
        </w:rPr>
        <w:t xml:space="preserve">För att få ett godkänt slutbetyg på hela kursen krävs lägst betyget E på Prov 1 och Prov 3 (tentamen I och II), godkänt betyg på Prov 2 och Prov 4 (inlämningsuppgift I och II) samt fullgjord obligatorisk närvaro. Sammanvägt slutbetyg </w:t>
      </w:r>
      <w:r>
        <w:rPr/>
        <w:t xml:space="preserve">A-E på kursen bestäms av betyget på Prov 1 (tentamen I) och Prov 3 (tentamen II) enligt följande tabell (oberoende av ordning): </w:t>
      </w:r>
    </w:p>
    <w:p>
      <w:pPr>
        <w:pStyle w:val="ListParagraph"/>
        <w:rPr/>
      </w:pPr>
      <w:r>
        <w:rPr/>
      </w:r>
    </w:p>
    <w:tbl>
      <w:tblPr>
        <w:tblStyle w:val="Tabellista5"/>
        <w:tblW w:w="6771"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4"/>
        <w:gridCol w:w="2166"/>
      </w:tblGrid>
      <w:tr>
        <w:trPr>
          <w:cnfStyle w:val="100000000000" w:firstRow="1" w:lastRow="0" w:firstColumn="0" w:lastColumn="0" w:oddVBand="0" w:evenVBand="0" w:oddHBand="0" w:evenHBand="0" w:firstRowFirstColumn="0" w:firstRowLastColumn="0" w:lastRowFirstColumn="0" w:lastRowLastColumn="0"/>
        </w:trPr>
        <w:tc>
          <w:tcPr>
            <w:tcW w:w="4604" w:type="dxa"/>
            <w:cnfStyle w:val="001000000000" w:firstRow="0" w:lastRow="0" w:firstColumn="1" w:lastColumn="0" w:oddVBand="0" w:evenVBand="0" w:oddHBand="0" w:evenHBand="0" w:firstRowFirstColumn="0" w:firstRowLastColumn="0" w:lastRowFirstColumn="0" w:lastRowLastColumn="0"/>
            <w:tcBorders>
              <w:bottom w:val="single" w:sz="12" w:space="0" w:color="000000"/>
              <w:right w:val="nil"/>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Delbetyg tentamen I och tentamen II</w:t>
            </w:r>
          </w:p>
        </w:tc>
        <w:tc>
          <w:tcPr>
            <w:tcW w:w="2166" w:type="dxa"/>
            <w:tcBorders>
              <w:left w:val="nil"/>
              <w:bottom w:val="single" w:sz="12" w:space="0" w:color="000000"/>
            </w:tcBorders>
            <w:shd w:color="auto" w:fill="auto" w:val="clear"/>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b w:val="false"/>
                <w:b w:val="false"/>
              </w:rPr>
            </w:pPr>
            <w:r>
              <w:rPr>
                <w:rFonts w:eastAsia="Times New Roman" w:cs="Times New Roman"/>
                <w:b/>
                <w:bCs/>
                <w:kern w:val="0"/>
                <w:lang w:val="sv-SE" w:bidi="ar-SA"/>
              </w:rPr>
              <w:t>Slutbetyg</w:t>
            </w:r>
          </w:p>
        </w:tc>
      </w:tr>
      <w:tr>
        <w:trPr/>
        <w:tc>
          <w:tcPr>
            <w:tcW w:w="460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b w:val="false"/>
                <w:b w:val="false"/>
              </w:rPr>
            </w:pPr>
            <w:r>
              <w:rPr>
                <w:rFonts w:eastAsia="Times New Roman" w:cs="Times New Roman"/>
                <w:b w:val="false"/>
                <w:bCs/>
                <w:kern w:val="0"/>
                <w:lang w:val="sv-SE" w:bidi="ar-SA"/>
              </w:rPr>
              <w:t>A+A, A+B</w:t>
            </w:r>
          </w:p>
        </w:tc>
        <w:tc>
          <w:tcPr>
            <w:tcW w:w="216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A</w:t>
            </w:r>
          </w:p>
        </w:tc>
      </w:tr>
      <w:tr>
        <w:trPr/>
        <w:tc>
          <w:tcPr>
            <w:tcW w:w="460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 xml:space="preserve">A+C, </w:t>
            </w:r>
            <w:r>
              <w:rPr>
                <w:rFonts w:eastAsia="Times New Roman" w:cs="Times New Roman"/>
                <w:b/>
                <w:bCs/>
                <w:kern w:val="0"/>
                <w:lang w:val="en-GB" w:bidi="ar-SA"/>
              </w:rPr>
              <w:t>A+D</w:t>
            </w:r>
            <w:r>
              <w:rPr>
                <w:rFonts w:eastAsia="Times New Roman" w:cs="Times New Roman"/>
                <w:b/>
                <w:bCs/>
                <w:kern w:val="0"/>
                <w:lang w:val="sv-SE" w:bidi="ar-SA"/>
              </w:rPr>
              <w:t>, B+B, B+C</w:t>
            </w:r>
          </w:p>
        </w:tc>
        <w:tc>
          <w:tcPr>
            <w:tcW w:w="216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B</w:t>
            </w:r>
          </w:p>
        </w:tc>
      </w:tr>
      <w:tr>
        <w:trPr/>
        <w:tc>
          <w:tcPr>
            <w:tcW w:w="460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b w:val="false"/>
                <w:b w:val="false"/>
                <w:lang w:val="it-IT"/>
              </w:rPr>
            </w:pPr>
            <w:r>
              <w:rPr>
                <w:rFonts w:eastAsia="Times New Roman" w:cs="Times New Roman"/>
                <w:b w:val="false"/>
                <w:bCs/>
                <w:kern w:val="0"/>
                <w:lang w:val="it-IT" w:bidi="ar-SA"/>
              </w:rPr>
              <w:t>A+E, B+D, B+E, C+C, C+D</w:t>
            </w:r>
          </w:p>
        </w:tc>
        <w:tc>
          <w:tcPr>
            <w:tcW w:w="216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GB"/>
              </w:rPr>
            </w:pPr>
            <w:r>
              <w:rPr>
                <w:rFonts w:eastAsia="Times New Roman" w:cs="Times New Roman"/>
                <w:kern w:val="0"/>
                <w:lang w:val="en-GB" w:bidi="ar-SA"/>
              </w:rPr>
              <w:t>C</w:t>
            </w:r>
          </w:p>
        </w:tc>
      </w:tr>
      <w:tr>
        <w:trPr/>
        <w:tc>
          <w:tcPr>
            <w:tcW w:w="460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b w:val="false"/>
                <w:b w:val="false"/>
                <w:lang w:val="en-GB"/>
              </w:rPr>
            </w:pPr>
            <w:r>
              <w:rPr>
                <w:rFonts w:eastAsia="Times New Roman" w:cs="Times New Roman"/>
                <w:b w:val="false"/>
                <w:bCs/>
                <w:kern w:val="0"/>
                <w:lang w:val="en-GB" w:bidi="ar-SA"/>
              </w:rPr>
              <w:t>C+E, D+D, D+E</w:t>
            </w:r>
          </w:p>
        </w:tc>
        <w:tc>
          <w:tcPr>
            <w:tcW w:w="216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GB"/>
              </w:rPr>
            </w:pPr>
            <w:r>
              <w:rPr>
                <w:rFonts w:eastAsia="Times New Roman" w:cs="Times New Roman"/>
                <w:kern w:val="0"/>
                <w:lang w:val="en-GB" w:bidi="ar-SA"/>
              </w:rPr>
              <w:t>D</w:t>
            </w:r>
          </w:p>
        </w:tc>
      </w:tr>
      <w:tr>
        <w:trPr/>
        <w:tc>
          <w:tcPr>
            <w:tcW w:w="460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b w:val="false"/>
                <w:b w:val="false"/>
                <w:lang w:val="en-GB"/>
              </w:rPr>
            </w:pPr>
            <w:r>
              <w:rPr>
                <w:rFonts w:eastAsia="Times New Roman" w:cs="Times New Roman"/>
                <w:b w:val="false"/>
                <w:bCs/>
                <w:kern w:val="0"/>
                <w:lang w:val="en-GB" w:bidi="ar-SA"/>
              </w:rPr>
              <w:t>E+E</w:t>
            </w:r>
          </w:p>
        </w:tc>
        <w:tc>
          <w:tcPr>
            <w:tcW w:w="216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GB"/>
              </w:rPr>
            </w:pPr>
            <w:r>
              <w:rPr>
                <w:rFonts w:eastAsia="Times New Roman" w:cs="Times New Roman"/>
                <w:kern w:val="0"/>
                <w:lang w:val="en-GB" w:bidi="ar-SA"/>
              </w:rPr>
              <w:t>E</w:t>
            </w:r>
          </w:p>
        </w:tc>
      </w:tr>
    </w:tbl>
    <w:p>
      <w:pPr>
        <w:pStyle w:val="Heading4"/>
        <w:numPr>
          <w:ilvl w:val="3"/>
          <w:numId w:val="1"/>
        </w:numPr>
        <w:rPr>
          <w:u w:val="single"/>
        </w:rPr>
      </w:pPr>
      <w:r>
        <w:rPr>
          <w:u w:val="single"/>
        </w:rPr>
        <w:t>Övrigt</w:t>
      </w:r>
    </w:p>
    <w:p>
      <w:pPr>
        <w:pStyle w:val="Normal"/>
        <w:rPr/>
      </w:pPr>
      <w:r>
        <w:rPr/>
      </w:r>
    </w:p>
    <w:p>
      <w:pPr>
        <w:pStyle w:val="Normal"/>
        <w:numPr>
          <w:ilvl w:val="0"/>
          <w:numId w:val="3"/>
        </w:numPr>
        <w:tabs>
          <w:tab w:val="clear" w:pos="624"/>
          <w:tab w:val="left" w:pos="426" w:leader="none"/>
        </w:tabs>
        <w:spacing w:before="0" w:after="60"/>
        <w:ind w:left="426" w:hanging="426"/>
        <w:rPr>
          <w:szCs w:val="22"/>
        </w:rPr>
      </w:pPr>
      <w:r>
        <w:rPr>
          <w:szCs w:val="22"/>
        </w:rPr>
        <w:t xml:space="preserve">Studerande som fått lägst betyget E på prov får inte genomgå förnyat prov för högre betyg. </w:t>
      </w:r>
    </w:p>
    <w:p>
      <w:pPr>
        <w:pStyle w:val="Normal"/>
        <w:numPr>
          <w:ilvl w:val="0"/>
          <w:numId w:val="3"/>
        </w:numPr>
        <w:tabs>
          <w:tab w:val="clear" w:pos="624"/>
          <w:tab w:val="left" w:pos="426" w:leader="none"/>
        </w:tabs>
        <w:spacing w:before="0" w:after="60"/>
        <w:ind w:left="426" w:hanging="426"/>
        <w:rPr>
          <w:szCs w:val="22"/>
        </w:rPr>
      </w:pPr>
      <w:r>
        <w:rPr>
          <w:szCs w:val="22"/>
        </w:rPr>
        <w:t>Såväl Fx som F på tentamen är underkända betyg och kräver omexamination. Studenter som får betyget Fx kan alltså inte komplettera för högre betyg.</w:t>
      </w:r>
    </w:p>
    <w:p>
      <w:pPr>
        <w:pStyle w:val="Normal"/>
        <w:numPr>
          <w:ilvl w:val="0"/>
          <w:numId w:val="3"/>
        </w:numPr>
        <w:tabs>
          <w:tab w:val="clear" w:pos="624"/>
          <w:tab w:val="left" w:pos="426" w:leader="none"/>
        </w:tabs>
        <w:spacing w:before="0" w:after="60"/>
        <w:ind w:left="426" w:hanging="426"/>
        <w:rPr>
          <w:szCs w:val="22"/>
        </w:rPr>
      </w:pPr>
      <w:r>
        <w:rPr>
          <w:szCs w:val="22"/>
        </w:rPr>
        <w:t xml:space="preserve">Studerande som fått betyget Fx eller F på ett prov har rätt att genomgå minst fyra ytterligare prov så länge kursen ges för att uppnå lägst betyget E. </w:t>
      </w:r>
    </w:p>
    <w:p>
      <w:pPr>
        <w:pStyle w:val="Normal"/>
        <w:numPr>
          <w:ilvl w:val="0"/>
          <w:numId w:val="3"/>
        </w:numPr>
        <w:tabs>
          <w:tab w:val="clear" w:pos="624"/>
          <w:tab w:val="left" w:pos="426" w:leader="none"/>
        </w:tabs>
        <w:spacing w:before="0" w:after="60"/>
        <w:ind w:left="426" w:hanging="426"/>
        <w:rPr>
          <w:szCs w:val="22"/>
        </w:rPr>
      </w:pPr>
      <w:r>
        <w:rPr>
          <w:szCs w:val="22"/>
        </w:rPr>
        <w:t>Studerande som fått betyget Fx eller F på prov två gånger av en examinator har rätt att begära att en annan examinator utses för att bestämma betyg vid nästa provtillfälle. Framställan härom ska skriftligt göras till prefekten.</w:t>
      </w:r>
    </w:p>
    <w:p>
      <w:pPr>
        <w:pStyle w:val="Normal"/>
        <w:numPr>
          <w:ilvl w:val="0"/>
          <w:numId w:val="3"/>
        </w:numPr>
        <w:tabs>
          <w:tab w:val="clear" w:pos="624"/>
          <w:tab w:val="left" w:pos="426" w:leader="none"/>
        </w:tabs>
        <w:spacing w:before="0" w:after="60"/>
        <w:ind w:left="426" w:hanging="426"/>
        <w:rPr>
          <w:szCs w:val="22"/>
        </w:rPr>
      </w:pPr>
      <w:r>
        <w:rPr>
          <w:szCs w:val="20"/>
        </w:rPr>
        <w:t>För varje prov på kursen ges två examinationstillfällen innevarande termin.</w:t>
      </w:r>
      <w:r>
        <w:rPr/>
        <w:t xml:space="preserve"> </w:t>
      </w:r>
    </w:p>
    <w:p>
      <w:pPr>
        <w:pStyle w:val="Normal"/>
        <w:suppressAutoHyphens w:val="false"/>
        <w:rPr>
          <w:b/>
          <w:b/>
          <w:bCs/>
        </w:rPr>
      </w:pPr>
      <w:r>
        <w:rPr>
          <w:b/>
          <w:bCs/>
        </w:rPr>
      </w:r>
    </w:p>
    <w:p>
      <w:pPr>
        <w:pStyle w:val="Normal"/>
        <w:suppressAutoHyphens w:val="false"/>
        <w:rPr>
          <w:b/>
          <w:b/>
          <w:bCs/>
        </w:rPr>
      </w:pPr>
      <w:r>
        <w:rPr>
          <w:b/>
          <w:bCs/>
        </w:rPr>
      </w:r>
    </w:p>
    <w:p>
      <w:pPr>
        <w:pStyle w:val="Heading4"/>
        <w:numPr>
          <w:ilvl w:val="0"/>
          <w:numId w:val="0"/>
        </w:numPr>
        <w:ind w:left="0" w:hanging="0"/>
        <w:rPr>
          <w:b w:val="false"/>
          <w:b w:val="false"/>
          <w:u w:val="single"/>
        </w:rPr>
      </w:pPr>
      <w:r>
        <w:rPr>
          <w:b w:val="false"/>
          <w:u w:val="single"/>
        </w:rPr>
        <w:t>Datum och regler för tentamina (Prov 1 och Prov 3)</w:t>
      </w:r>
    </w:p>
    <w:p>
      <w:pPr>
        <w:pStyle w:val="Normal"/>
        <w:rPr/>
      </w:pPr>
      <w:r>
        <w:rPr/>
      </w:r>
    </w:p>
    <w:tbl>
      <w:tblPr>
        <w:tblW w:w="100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82"/>
        <w:gridCol w:w="7415"/>
      </w:tblGrid>
      <w:tr>
        <w:trPr>
          <w:trHeight w:val="182" w:hRule="atLeast"/>
        </w:trPr>
        <w:tc>
          <w:tcPr>
            <w:tcW w:w="2682" w:type="dxa"/>
            <w:tcBorders/>
          </w:tcPr>
          <w:p>
            <w:pPr>
              <w:pStyle w:val="Normal"/>
              <w:widowControl w:val="false"/>
              <w:rPr>
                <w:b/>
                <w:b/>
                <w:color w:val="000000" w:themeColor="text1"/>
              </w:rPr>
            </w:pPr>
            <w:r>
              <w:rPr>
                <w:b/>
                <w:color w:val="000000" w:themeColor="text1"/>
              </w:rPr>
              <w:t>Tentamen I</w:t>
            </w:r>
          </w:p>
        </w:tc>
        <w:tc>
          <w:tcPr>
            <w:tcW w:w="7415" w:type="dxa"/>
            <w:tcBorders/>
          </w:tcPr>
          <w:p>
            <w:pPr>
              <w:pStyle w:val="Normal"/>
              <w:widowControl w:val="false"/>
              <w:rPr>
                <w:b/>
                <w:b/>
                <w:color w:val="000000" w:themeColor="text1"/>
              </w:rPr>
            </w:pPr>
            <w:r>
              <w:rPr>
                <w:b/>
                <w:color w:val="000000" w:themeColor="text1"/>
              </w:rPr>
              <w:t xml:space="preserve">Onsdag den 29 september kl. 14.00–19.00, </w:t>
            </w:r>
          </w:p>
          <w:p>
            <w:pPr>
              <w:pStyle w:val="Normal"/>
              <w:widowControl w:val="false"/>
              <w:rPr>
                <w:color w:val="000000" w:themeColor="text1"/>
              </w:rPr>
            </w:pPr>
            <w:r>
              <w:rPr>
                <w:color w:val="000000" w:themeColor="text1"/>
              </w:rPr>
              <w:t xml:space="preserve">Resultatet meddelas senast den 15 oktober. </w:t>
            </w:r>
          </w:p>
          <w:p>
            <w:pPr>
              <w:pStyle w:val="Normal"/>
              <w:widowControl w:val="false"/>
              <w:rPr>
                <w:color w:val="000000" w:themeColor="text1"/>
              </w:rPr>
            </w:pPr>
            <w:r>
              <w:rPr>
                <w:color w:val="000000" w:themeColor="text1"/>
              </w:rPr>
            </w:r>
          </w:p>
        </w:tc>
      </w:tr>
      <w:tr>
        <w:trPr>
          <w:trHeight w:val="182" w:hRule="atLeast"/>
        </w:trPr>
        <w:tc>
          <w:tcPr>
            <w:tcW w:w="2682" w:type="dxa"/>
            <w:tcBorders/>
          </w:tcPr>
          <w:p>
            <w:pPr>
              <w:pStyle w:val="Normal"/>
              <w:widowControl w:val="false"/>
              <w:rPr>
                <w:b/>
                <w:b/>
                <w:color w:val="000000" w:themeColor="text1"/>
              </w:rPr>
            </w:pPr>
            <w:r>
              <w:rPr>
                <w:b/>
                <w:color w:val="000000" w:themeColor="text1"/>
              </w:rPr>
              <w:t>Omtentamen I</w:t>
            </w:r>
          </w:p>
        </w:tc>
        <w:tc>
          <w:tcPr>
            <w:tcW w:w="7415" w:type="dxa"/>
            <w:tcBorders/>
          </w:tcPr>
          <w:p>
            <w:pPr>
              <w:pStyle w:val="Normal"/>
              <w:widowControl w:val="false"/>
              <w:rPr>
                <w:color w:val="000000" w:themeColor="text1"/>
              </w:rPr>
            </w:pPr>
            <w:r>
              <w:rPr>
                <w:b/>
                <w:color w:val="000000" w:themeColor="text1"/>
              </w:rPr>
              <w:t>Måndag den 1 november kl. 08.00–13.00</w:t>
            </w:r>
            <w:r>
              <w:rPr>
                <w:color w:val="000000" w:themeColor="text1"/>
              </w:rPr>
              <w:t>,</w:t>
            </w:r>
            <w:r>
              <w:rPr>
                <w:b/>
                <w:color w:val="000000" w:themeColor="text1"/>
              </w:rPr>
              <w:t xml:space="preserve"> </w:t>
            </w:r>
          </w:p>
          <w:p>
            <w:pPr>
              <w:pStyle w:val="Normal"/>
              <w:widowControl w:val="false"/>
              <w:rPr>
                <w:color w:val="000000" w:themeColor="text1"/>
              </w:rPr>
            </w:pPr>
            <w:r>
              <w:rPr>
                <w:color w:val="000000" w:themeColor="text1"/>
              </w:rPr>
              <w:t xml:space="preserve">Resultatet meddelas senast den 22 november. </w:t>
            </w:r>
          </w:p>
          <w:p>
            <w:pPr>
              <w:pStyle w:val="Normal"/>
              <w:widowControl w:val="false"/>
              <w:rPr>
                <w:color w:val="000000" w:themeColor="text1"/>
              </w:rPr>
            </w:pPr>
            <w:r>
              <w:rPr>
                <w:color w:val="000000" w:themeColor="text1"/>
              </w:rPr>
            </w:r>
          </w:p>
        </w:tc>
      </w:tr>
      <w:tr>
        <w:trPr>
          <w:trHeight w:val="185" w:hRule="atLeast"/>
        </w:trPr>
        <w:tc>
          <w:tcPr>
            <w:tcW w:w="2682" w:type="dxa"/>
            <w:tcBorders/>
          </w:tcPr>
          <w:p>
            <w:pPr>
              <w:pStyle w:val="Normal"/>
              <w:widowControl w:val="false"/>
              <w:rPr>
                <w:b/>
                <w:b/>
                <w:color w:val="000000" w:themeColor="text1"/>
              </w:rPr>
            </w:pPr>
            <w:r>
              <w:rPr>
                <w:b/>
                <w:color w:val="000000" w:themeColor="text1"/>
              </w:rPr>
              <w:t>Tentamen II</w:t>
            </w:r>
          </w:p>
        </w:tc>
        <w:tc>
          <w:tcPr>
            <w:tcW w:w="7415" w:type="dxa"/>
            <w:tcBorders/>
          </w:tcPr>
          <w:p>
            <w:pPr>
              <w:pStyle w:val="Normal"/>
              <w:widowControl w:val="false"/>
              <w:rPr>
                <w:b/>
                <w:b/>
                <w:color w:val="000000" w:themeColor="text1"/>
              </w:rPr>
            </w:pPr>
            <w:r>
              <w:rPr>
                <w:b/>
                <w:color w:val="000000" w:themeColor="text1"/>
              </w:rPr>
              <w:t>Fredag den 29 oktober kl. 14.00–19.00,</w:t>
            </w:r>
          </w:p>
          <w:p>
            <w:pPr>
              <w:pStyle w:val="Normal"/>
              <w:widowControl w:val="false"/>
              <w:rPr>
                <w:color w:val="000000" w:themeColor="text1"/>
              </w:rPr>
            </w:pPr>
            <w:r>
              <w:rPr>
                <w:color w:val="000000" w:themeColor="text1"/>
              </w:rPr>
              <w:t xml:space="preserve">Resultatet meddelas senast den 19 november. </w:t>
            </w:r>
          </w:p>
          <w:p>
            <w:pPr>
              <w:pStyle w:val="Normal"/>
              <w:widowControl w:val="false"/>
              <w:rPr>
                <w:b/>
                <w:b/>
                <w:color w:val="000000" w:themeColor="text1"/>
              </w:rPr>
            </w:pPr>
            <w:r>
              <w:rPr>
                <w:b/>
                <w:color w:val="000000" w:themeColor="text1"/>
              </w:rPr>
            </w:r>
          </w:p>
        </w:tc>
      </w:tr>
      <w:tr>
        <w:trPr>
          <w:trHeight w:val="489" w:hRule="atLeast"/>
        </w:trPr>
        <w:tc>
          <w:tcPr>
            <w:tcW w:w="2682" w:type="dxa"/>
            <w:tcBorders/>
          </w:tcPr>
          <w:p>
            <w:pPr>
              <w:pStyle w:val="Normal"/>
              <w:widowControl w:val="false"/>
              <w:rPr>
                <w:b/>
                <w:b/>
                <w:color w:val="000000" w:themeColor="text1"/>
              </w:rPr>
            </w:pPr>
            <w:r>
              <w:rPr>
                <w:b/>
                <w:color w:val="000000" w:themeColor="text1"/>
              </w:rPr>
              <w:t>Omtentamen II</w:t>
            </w:r>
          </w:p>
        </w:tc>
        <w:tc>
          <w:tcPr>
            <w:tcW w:w="7415" w:type="dxa"/>
            <w:tcBorders/>
          </w:tcPr>
          <w:p>
            <w:pPr>
              <w:pStyle w:val="Normal"/>
              <w:widowControl w:val="false"/>
              <w:rPr>
                <w:b/>
                <w:b/>
                <w:color w:val="000000" w:themeColor="text1"/>
              </w:rPr>
            </w:pPr>
            <w:r>
              <w:rPr>
                <w:b/>
                <w:color w:val="000000" w:themeColor="text1"/>
              </w:rPr>
              <w:t>Lördag den 4 december kl. 09.00–14.00,</w:t>
            </w:r>
          </w:p>
          <w:p>
            <w:pPr>
              <w:pStyle w:val="Normal"/>
              <w:widowControl w:val="false"/>
              <w:rPr>
                <w:color w:val="000000" w:themeColor="text1"/>
              </w:rPr>
            </w:pPr>
            <w:r>
              <w:rPr>
                <w:color w:val="000000" w:themeColor="text1"/>
              </w:rPr>
              <w:t>Resultatet meddelas senast den 22 december.</w:t>
            </w:r>
          </w:p>
        </w:tc>
      </w:tr>
      <w:tr>
        <w:trPr>
          <w:trHeight w:val="59" w:hRule="atLeast"/>
        </w:trPr>
        <w:tc>
          <w:tcPr>
            <w:tcW w:w="2682" w:type="dxa"/>
            <w:tcBorders/>
          </w:tcPr>
          <w:p>
            <w:pPr>
              <w:pStyle w:val="Normal"/>
              <w:widowControl w:val="false"/>
              <w:rPr/>
            </w:pPr>
            <w:r>
              <w:rPr/>
            </w:r>
          </w:p>
        </w:tc>
        <w:tc>
          <w:tcPr>
            <w:tcW w:w="7415" w:type="dxa"/>
            <w:tcBorders/>
          </w:tcPr>
          <w:p>
            <w:pPr>
              <w:pStyle w:val="Normal"/>
              <w:widowControl w:val="false"/>
              <w:rPr/>
            </w:pPr>
            <w:r>
              <w:rPr/>
            </w:r>
          </w:p>
        </w:tc>
      </w:tr>
      <w:tr>
        <w:trPr>
          <w:trHeight w:val="59" w:hRule="atLeast"/>
        </w:trPr>
        <w:tc>
          <w:tcPr>
            <w:tcW w:w="2682" w:type="dxa"/>
            <w:tcBorders/>
          </w:tcPr>
          <w:p>
            <w:pPr>
              <w:pStyle w:val="Normal"/>
              <w:widowControl w:val="false"/>
              <w:rPr/>
            </w:pPr>
            <w:r>
              <w:rPr/>
            </w:r>
          </w:p>
        </w:tc>
        <w:tc>
          <w:tcPr>
            <w:tcW w:w="7415" w:type="dxa"/>
            <w:tcBorders/>
          </w:tcPr>
          <w:p>
            <w:pPr>
              <w:pStyle w:val="Normal"/>
              <w:widowControl w:val="false"/>
              <w:rPr/>
            </w:pPr>
            <w:r>
              <w:rPr/>
            </w:r>
          </w:p>
        </w:tc>
      </w:tr>
    </w:tbl>
    <w:p>
      <w:pPr>
        <w:pStyle w:val="ListParagraph"/>
        <w:numPr>
          <w:ilvl w:val="0"/>
          <w:numId w:val="7"/>
        </w:numPr>
        <w:suppressAutoHyphens w:val="false"/>
        <w:spacing w:before="0" w:after="120"/>
        <w:contextualSpacing/>
        <w:jc w:val="both"/>
        <w:rPr/>
      </w:pPr>
      <w:r>
        <w:rPr/>
        <w:t xml:space="preserve">Från och med det datum som tentamensresultatet meddelas finns tentorna att hämta ut på studentexpeditionen under deras ordinarie öppettider (se hemsidan) eller skickas elektroniskt. Lösningsförslag läggs upp på Athena senast detta datum. </w:t>
      </w:r>
    </w:p>
    <w:p>
      <w:pPr>
        <w:pStyle w:val="ListParagraph"/>
        <w:numPr>
          <w:ilvl w:val="0"/>
          <w:numId w:val="7"/>
        </w:numPr>
        <w:suppressAutoHyphens w:val="false"/>
        <w:spacing w:before="0" w:after="120"/>
        <w:contextualSpacing/>
        <w:jc w:val="both"/>
        <w:rPr/>
      </w:pPr>
      <w:r>
        <w:rPr>
          <w:lang w:eastAsia="sv-SE"/>
        </w:rPr>
        <w:t xml:space="preserve">Salstentor är individuella och under tentorna är samarbete otillåtet liksom andra hjälpmedel än </w:t>
      </w:r>
      <w:r>
        <w:rPr/>
        <w:t xml:space="preserve">de som medgetts av examinator. För denna kurs är endast miniräknare utan lagrad text och data tillåtet. Mobiltelefoner med räknarfunktion är </w:t>
      </w:r>
      <w:r>
        <w:rPr>
          <w:u w:val="single"/>
        </w:rPr>
        <w:t>inte</w:t>
      </w:r>
      <w:r>
        <w:rPr/>
        <w:t xml:space="preserve"> ett tillåtet hjälpmedel. </w:t>
      </w:r>
      <w:r>
        <w:rPr>
          <w:color w:val="000000" w:themeColor="text1"/>
        </w:rPr>
        <w:t xml:space="preserve">Häftet ”Formelblad och tabellsamling” bifogas tentamen och återlämnas efter skrivningen. </w:t>
      </w:r>
    </w:p>
    <w:p>
      <w:pPr>
        <w:pStyle w:val="ListParagraph"/>
        <w:numPr>
          <w:ilvl w:val="0"/>
          <w:numId w:val="7"/>
        </w:numPr>
        <w:suppressAutoHyphens w:val="false"/>
        <w:spacing w:before="0" w:after="120"/>
        <w:contextualSpacing/>
        <w:jc w:val="both"/>
        <w:rPr/>
      </w:pPr>
      <w:r>
        <w:rPr/>
        <w:t>Särskilt stöd kan vid behov tillåtas efter begäran hos institutionens studie- och karriärvägledare och efter medgivande av examinator. Kontakta studie- och karriärvägledare i god tid innan tentamen äger rum, helst inte senare än tre veckor innan tentamen äger rum.</w:t>
      </w:r>
    </w:p>
    <w:p>
      <w:pPr>
        <w:pStyle w:val="ListParagraph"/>
        <w:numPr>
          <w:ilvl w:val="0"/>
          <w:numId w:val="7"/>
        </w:numPr>
        <w:suppressAutoHyphens w:val="false"/>
        <w:spacing w:before="0" w:after="120"/>
        <w:contextualSpacing/>
        <w:jc w:val="both"/>
        <w:rPr/>
      </w:pPr>
      <w:r>
        <w:rPr/>
        <w:t>Regler som gäller för tentamensskrivningar vid Stockholms universitet finns på:</w:t>
      </w:r>
    </w:p>
    <w:p>
      <w:pPr>
        <w:pStyle w:val="ListParagraph"/>
        <w:suppressAutoHyphens w:val="false"/>
        <w:spacing w:before="0" w:after="120"/>
        <w:contextualSpacing/>
        <w:jc w:val="both"/>
        <w:rPr/>
      </w:pPr>
      <w:r>
        <w:rPr/>
      </w:r>
    </w:p>
    <w:p>
      <w:pPr>
        <w:pStyle w:val="ListParagraph"/>
        <w:suppressAutoHyphens w:val="false"/>
        <w:spacing w:before="0" w:after="120"/>
        <w:contextualSpacing/>
        <w:jc w:val="both"/>
        <w:rPr>
          <w:color w:val="0000FF"/>
          <w:u w:val="single"/>
        </w:rPr>
      </w:pPr>
      <w:hyperlink r:id="rId10">
        <w:r>
          <w:rPr>
            <w:rStyle w:val="InternetLink"/>
          </w:rPr>
          <w:t>https://www.su.se/medarbetare/organisation-styrning/styrdokument-regelboken/utbildning/regler-för-salstentamen-1.513161</w:t>
        </w:r>
      </w:hyperlink>
    </w:p>
    <w:p>
      <w:pPr>
        <w:pStyle w:val="Normal"/>
        <w:suppressAutoHyphens w:val="false"/>
        <w:rPr/>
      </w:pPr>
      <w:r>
        <w:rPr/>
      </w:r>
    </w:p>
    <w:p>
      <w:pPr>
        <w:pStyle w:val="Normal"/>
        <w:pBdr>
          <w:top w:val="single" w:sz="4" w:space="1" w:color="000000"/>
          <w:left w:val="single" w:sz="4" w:space="4" w:color="000000"/>
          <w:bottom w:val="single" w:sz="4" w:space="1" w:color="000000"/>
          <w:right w:val="single" w:sz="4" w:space="4" w:color="000000"/>
        </w:pBdr>
        <w:suppressAutoHyphens w:val="false"/>
        <w:rPr>
          <w:b/>
          <w:b/>
        </w:rPr>
      </w:pPr>
      <w:r>
        <w:rPr>
          <w:b/>
        </w:rPr>
        <w:t xml:space="preserve">Obs! </w:t>
      </w:r>
      <w:r>
        <w:rPr/>
        <w:t xml:space="preserve">Kom ihåg att du måste </w:t>
      </w:r>
      <w:r>
        <w:rPr>
          <w:b/>
        </w:rPr>
        <w:t>anmäla dig senast 10 dagar innan tentamen i Ladok</w:t>
      </w:r>
      <w:r>
        <w:rPr/>
        <w:t>. Anmälan till tentamen öppnar 30 dagar innan tentamensdatum. Om du missar att anmäla dig kan du inte tentera!</w:t>
      </w:r>
    </w:p>
    <w:p>
      <w:pPr>
        <w:pStyle w:val="Normal"/>
        <w:suppressAutoHyphens w:val="false"/>
        <w:rPr>
          <w:b/>
          <w:b/>
        </w:rPr>
      </w:pPr>
      <w:r>
        <w:rPr>
          <w:b/>
        </w:rPr>
      </w:r>
    </w:p>
    <w:p>
      <w:pPr>
        <w:pStyle w:val="Heading4"/>
        <w:numPr>
          <w:ilvl w:val="0"/>
          <w:numId w:val="0"/>
        </w:numPr>
        <w:ind w:left="0" w:hanging="0"/>
        <w:rPr>
          <w:u w:val="single"/>
        </w:rPr>
      </w:pPr>
      <w:r>
        <w:rPr>
          <w:u w:val="single"/>
        </w:rPr>
        <w:t>Datum och regler för inlämningsuppgifterna (Prov 2 och Prov 4)</w:t>
      </w:r>
    </w:p>
    <w:p>
      <w:pPr>
        <w:pStyle w:val="Normal"/>
        <w:suppressAutoHyphens w:val="false"/>
        <w:rPr>
          <w:b/>
          <w:b/>
        </w:rPr>
      </w:pPr>
      <w:r>
        <w:rPr>
          <w:b/>
        </w:rPr>
      </w:r>
    </w:p>
    <w:tbl>
      <w:tblPr>
        <w:tblW w:w="96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02"/>
        <w:gridCol w:w="6803"/>
      </w:tblGrid>
      <w:tr>
        <w:trPr/>
        <w:tc>
          <w:tcPr>
            <w:tcW w:w="2802" w:type="dxa"/>
            <w:tcBorders/>
          </w:tcPr>
          <w:p>
            <w:pPr>
              <w:pStyle w:val="Normal"/>
              <w:widowControl w:val="false"/>
              <w:rPr>
                <w:b/>
                <w:b/>
                <w:color w:val="000000" w:themeColor="text1"/>
              </w:rPr>
            </w:pPr>
            <w:r>
              <w:rPr>
                <w:b/>
                <w:color w:val="000000" w:themeColor="text1"/>
              </w:rPr>
              <w:t>Inlämningsuppgift I</w:t>
            </w:r>
          </w:p>
          <w:p>
            <w:pPr>
              <w:pStyle w:val="Normal"/>
              <w:widowControl w:val="false"/>
              <w:rPr>
                <w:color w:val="000000" w:themeColor="text1"/>
              </w:rPr>
            </w:pPr>
            <w:r>
              <w:rPr>
                <w:color w:val="000000" w:themeColor="text1"/>
              </w:rPr>
            </w:r>
          </w:p>
        </w:tc>
        <w:tc>
          <w:tcPr>
            <w:tcW w:w="6803" w:type="dxa"/>
            <w:tcBorders/>
          </w:tcPr>
          <w:p>
            <w:pPr>
              <w:pStyle w:val="Normal"/>
              <w:widowControl w:val="false"/>
              <w:rPr>
                <w:color w:val="000000" w:themeColor="text1"/>
              </w:rPr>
            </w:pPr>
            <w:r>
              <w:rPr>
                <w:color w:val="000000" w:themeColor="text1"/>
              </w:rPr>
              <w:t xml:space="preserve">Inlämning 1: </w:t>
            </w:r>
            <w:r>
              <w:rPr>
                <w:b/>
                <w:color w:val="000000" w:themeColor="text1"/>
              </w:rPr>
              <w:t>senast torsdag den 23 september kl. 24.00</w:t>
            </w:r>
          </w:p>
          <w:p>
            <w:pPr>
              <w:pStyle w:val="Normal"/>
              <w:widowControl w:val="false"/>
              <w:rPr>
                <w:color w:val="000000" w:themeColor="text1"/>
              </w:rPr>
            </w:pPr>
            <w:r>
              <w:rPr>
                <w:color w:val="000000" w:themeColor="text1"/>
              </w:rPr>
              <w:t>Återlämning: senast torsdag den 30 september</w:t>
            </w:r>
          </w:p>
          <w:p>
            <w:pPr>
              <w:pStyle w:val="Normal"/>
              <w:widowControl w:val="false"/>
              <w:rPr>
                <w:color w:val="000000" w:themeColor="text1"/>
              </w:rPr>
            </w:pPr>
            <w:r>
              <w:rPr>
                <w:color w:val="000000" w:themeColor="text1"/>
              </w:rPr>
              <w:t xml:space="preserve">Inlämning 2: </w:t>
            </w:r>
            <w:r>
              <w:rPr>
                <w:b/>
                <w:color w:val="000000" w:themeColor="text1"/>
              </w:rPr>
              <w:t>senast torsdag den 7 oktober kl. 24.00</w:t>
            </w:r>
          </w:p>
          <w:p>
            <w:pPr>
              <w:pStyle w:val="Normal"/>
              <w:widowControl w:val="false"/>
              <w:rPr>
                <w:color w:val="000000" w:themeColor="text1"/>
              </w:rPr>
            </w:pPr>
            <w:r>
              <w:rPr>
                <w:color w:val="000000" w:themeColor="text1"/>
              </w:rPr>
            </w:r>
          </w:p>
        </w:tc>
      </w:tr>
      <w:tr>
        <w:trPr/>
        <w:tc>
          <w:tcPr>
            <w:tcW w:w="2802" w:type="dxa"/>
            <w:tcBorders/>
          </w:tcPr>
          <w:p>
            <w:pPr>
              <w:pStyle w:val="Normal"/>
              <w:widowControl w:val="false"/>
              <w:rPr>
                <w:b/>
                <w:b/>
                <w:color w:val="000000" w:themeColor="text1"/>
              </w:rPr>
            </w:pPr>
            <w:r>
              <w:rPr>
                <w:b/>
                <w:color w:val="000000" w:themeColor="text1"/>
              </w:rPr>
              <w:t>Inlämningsuppgift II</w:t>
            </w:r>
          </w:p>
          <w:p>
            <w:pPr>
              <w:pStyle w:val="Normal"/>
              <w:widowControl w:val="false"/>
              <w:rPr>
                <w:color w:val="000000" w:themeColor="text1"/>
              </w:rPr>
            </w:pPr>
            <w:r>
              <w:rPr>
                <w:color w:val="000000" w:themeColor="text1"/>
              </w:rPr>
            </w:r>
          </w:p>
        </w:tc>
        <w:tc>
          <w:tcPr>
            <w:tcW w:w="6803" w:type="dxa"/>
            <w:tcBorders/>
          </w:tcPr>
          <w:p>
            <w:pPr>
              <w:pStyle w:val="Normal"/>
              <w:widowControl w:val="false"/>
              <w:rPr>
                <w:color w:val="000000" w:themeColor="text1"/>
              </w:rPr>
            </w:pPr>
            <w:r>
              <w:rPr>
                <w:color w:val="000000" w:themeColor="text1"/>
              </w:rPr>
              <w:t xml:space="preserve">Inlämning 1: </w:t>
            </w:r>
            <w:r>
              <w:rPr>
                <w:b/>
                <w:color w:val="000000" w:themeColor="text1"/>
              </w:rPr>
              <w:t>senast måndag den 25 oktober kl. 24.00</w:t>
            </w:r>
          </w:p>
          <w:p>
            <w:pPr>
              <w:pStyle w:val="Normal"/>
              <w:widowControl w:val="false"/>
              <w:rPr>
                <w:color w:val="000000" w:themeColor="text1"/>
              </w:rPr>
            </w:pPr>
            <w:r>
              <w:rPr>
                <w:color w:val="000000" w:themeColor="text1"/>
              </w:rPr>
              <w:t>Återlämning: senast måndag den 1 november</w:t>
            </w:r>
          </w:p>
          <w:p>
            <w:pPr>
              <w:pStyle w:val="Normal"/>
              <w:widowControl w:val="false"/>
              <w:rPr>
                <w:color w:val="000000" w:themeColor="text1"/>
              </w:rPr>
            </w:pPr>
            <w:r>
              <w:rPr>
                <w:color w:val="000000" w:themeColor="text1"/>
              </w:rPr>
              <w:t xml:space="preserve">Inlämning 2: </w:t>
            </w:r>
            <w:r>
              <w:rPr>
                <w:b/>
                <w:color w:val="000000" w:themeColor="text1"/>
              </w:rPr>
              <w:t>senast måndag den 8 november kl. 24.00</w:t>
            </w:r>
          </w:p>
          <w:p>
            <w:pPr>
              <w:pStyle w:val="Normal"/>
              <w:widowControl w:val="false"/>
              <w:rPr>
                <w:color w:val="000000" w:themeColor="text1"/>
              </w:rPr>
            </w:pPr>
            <w:r>
              <w:rPr>
                <w:color w:val="000000" w:themeColor="text1"/>
              </w:rPr>
            </w:r>
          </w:p>
        </w:tc>
      </w:tr>
    </w:tbl>
    <w:p>
      <w:pPr>
        <w:pStyle w:val="ListParagraph"/>
        <w:numPr>
          <w:ilvl w:val="0"/>
          <w:numId w:val="4"/>
        </w:numPr>
        <w:spacing w:before="0" w:after="60"/>
        <w:ind w:left="425" w:hanging="425"/>
        <w:contextualSpacing w:val="false"/>
        <w:jc w:val="both"/>
        <w:rPr/>
      </w:pPr>
      <w:r>
        <w:rPr/>
        <w:t xml:space="preserve">Inlämningsuppgifterna görs som </w:t>
      </w:r>
      <w:r>
        <w:rPr>
          <w:b/>
        </w:rPr>
        <w:t>grupparbeten</w:t>
      </w:r>
      <w:r>
        <w:rPr/>
        <w:t xml:space="preserve"> med </w:t>
      </w:r>
      <w:r>
        <w:rPr>
          <w:b/>
        </w:rPr>
        <w:t>2-3 personer per grupp</w:t>
      </w:r>
      <w:r>
        <w:rPr/>
        <w:t>. Indelning i grupper gör ni själva i Athena i dokumentet ”Skapa arbetsgrupp” som ligger i mappen Inlämningsuppgift 1 respektive 2.</w:t>
      </w:r>
    </w:p>
    <w:p>
      <w:pPr>
        <w:pStyle w:val="ListParagraph"/>
        <w:numPr>
          <w:ilvl w:val="0"/>
          <w:numId w:val="4"/>
        </w:numPr>
        <w:spacing w:before="0" w:after="60"/>
        <w:ind w:left="425" w:hanging="425"/>
        <w:contextualSpacing w:val="false"/>
        <w:jc w:val="both"/>
        <w:rPr/>
      </w:pPr>
      <w:r>
        <w:rPr/>
        <w:t>Uppgiften skall redovisas i form av en skriftlig rapport. Instruktioner för uppgiften finns på Athena.</w:t>
      </w:r>
    </w:p>
    <w:p>
      <w:pPr>
        <w:pStyle w:val="ListParagraph"/>
        <w:numPr>
          <w:ilvl w:val="0"/>
          <w:numId w:val="4"/>
        </w:numPr>
        <w:spacing w:before="0" w:after="60"/>
        <w:ind w:left="425" w:hanging="425"/>
        <w:contextualSpacing w:val="false"/>
        <w:jc w:val="both"/>
        <w:rPr/>
      </w:pPr>
      <w:r>
        <w:rPr>
          <w:lang w:eastAsia="sv-SE"/>
        </w:rPr>
        <w:t xml:space="preserve">Samarbete inom gruppen är självklart tillåtet, dock kan individuell prövning och betygsättning inom gruppen förekomma. Observera att samtliga gruppmedlemmar står för och ska kunna svara för alla delar av arbetet som redovisas i rapporten. Samarbete mellan grupperna är tillåtet men varje grupp ska lämna in sin unika rapport. Alla typer av plagiering är otillåtna och programvara för textmatchning kan vid behov komma att användas. </w:t>
      </w:r>
      <w:r>
        <w:rPr>
          <w:color w:val="000000" w:themeColor="text1"/>
          <w:lang w:eastAsia="sv-SE"/>
        </w:rPr>
        <w:t>Läs ”</w:t>
      </w:r>
      <w:r>
        <w:rPr>
          <w:color w:val="000000" w:themeColor="text1"/>
        </w:rPr>
        <w:t>Riktlinjer för diciplinärenden vid Stockholms universitet”</w:t>
      </w:r>
    </w:p>
    <w:p>
      <w:pPr>
        <w:pStyle w:val="ListParagraph"/>
        <w:spacing w:before="0" w:after="60"/>
        <w:ind w:left="425" w:hanging="0"/>
        <w:contextualSpacing w:val="false"/>
        <w:jc w:val="both"/>
        <w:rPr/>
      </w:pPr>
      <w:hyperlink r:id="rId11">
        <w:r>
          <w:rPr>
            <w:rStyle w:val="InternetLink"/>
          </w:rPr>
          <w:t>https://www.su.se/medarbetare/organisation-styrning/styrdokument-regelboken/utbildning/regler-och-handläggningsordning-för-disciplinärenden-1.605869</w:t>
        </w:r>
      </w:hyperlink>
    </w:p>
    <w:p>
      <w:pPr>
        <w:pStyle w:val="ListParagraph"/>
        <w:numPr>
          <w:ilvl w:val="0"/>
          <w:numId w:val="4"/>
        </w:numPr>
        <w:spacing w:before="0" w:after="60"/>
        <w:ind w:left="425" w:hanging="425"/>
        <w:contextualSpacing w:val="false"/>
        <w:jc w:val="both"/>
        <w:rPr/>
      </w:pPr>
      <w:r>
        <w:rPr/>
        <w:t>Om en inlämningsuppgift underkänns efter inlämning 1 får man möjlighet att komplettera. Kompletteringar ska lämnas in senast vid tidpunkten för inlämning 2 som anges ovan och beräknas vara rättade senast fem arbetsdagar senare. Återlämning sker efter överenskommelse med seminarieläraren eller kursansvarig.</w:t>
      </w:r>
    </w:p>
    <w:p>
      <w:pPr>
        <w:pStyle w:val="ListParagraph"/>
        <w:numPr>
          <w:ilvl w:val="0"/>
          <w:numId w:val="4"/>
        </w:numPr>
        <w:spacing w:before="0" w:after="60"/>
        <w:ind w:left="425" w:hanging="425"/>
        <w:contextualSpacing w:val="false"/>
        <w:jc w:val="both"/>
        <w:rPr/>
      </w:pPr>
      <w:r>
        <w:rPr>
          <w:b/>
        </w:rPr>
        <w:t xml:space="preserve"> </w:t>
      </w:r>
      <w:r>
        <w:rPr>
          <w:b/>
        </w:rPr>
        <w:t>Obs!</w:t>
      </w:r>
      <w:r>
        <w:rPr/>
        <w:t xml:space="preserve"> Det är </w:t>
      </w:r>
      <w:r>
        <w:rPr>
          <w:u w:val="single"/>
        </w:rPr>
        <w:t>inte</w:t>
      </w:r>
      <w:r>
        <w:rPr/>
        <w:t xml:space="preserve"> möjligt att komplettera om inlämningen sker först vid andra tillfället. Detta innebär att om man missar en inlämning och istället lämnar in vid den senare tidpunkten och då får underkänt, kan man inte komplettera uppgiften.</w:t>
      </w:r>
    </w:p>
    <w:p>
      <w:pPr>
        <w:pStyle w:val="ListParagraph"/>
        <w:numPr>
          <w:ilvl w:val="0"/>
          <w:numId w:val="4"/>
        </w:numPr>
        <w:spacing w:before="0" w:after="60"/>
        <w:ind w:left="425" w:hanging="425"/>
        <w:contextualSpacing w:val="false"/>
        <w:jc w:val="both"/>
        <w:rPr/>
      </w:pPr>
      <w:r>
        <w:rPr>
          <w:b/>
        </w:rPr>
        <w:t>Obs!</w:t>
      </w:r>
      <w:r>
        <w:rPr/>
        <w:t xml:space="preserve"> Samtliga deluppgifter inom resp. inlämningsuppgift ska vara behandlade och godkända under innevarande termin för att hela inlämningsuppgiften ska kunna godkännas. Resultat från deluppgifter sparas inte och kan inte överföras till kommande terminer.</w:t>
      </w:r>
    </w:p>
    <w:p>
      <w:pPr>
        <w:pStyle w:val="ListParagraph"/>
        <w:numPr>
          <w:ilvl w:val="0"/>
          <w:numId w:val="4"/>
        </w:numPr>
        <w:spacing w:before="0" w:after="60"/>
        <w:ind w:left="425" w:hanging="425"/>
        <w:contextualSpacing w:val="false"/>
        <w:jc w:val="both"/>
        <w:rPr/>
      </w:pPr>
      <w:r>
        <w:rPr>
          <w:b/>
        </w:rPr>
        <w:t>Obs!</w:t>
      </w:r>
      <w:r>
        <w:rPr/>
        <w:t xml:space="preserve"> Fullgjord obligatorisk närvaro krävs för godkänt betyg, se betygskriterier nedan.</w:t>
      </w:r>
    </w:p>
    <w:p>
      <w:pPr>
        <w:pStyle w:val="Normal"/>
        <w:suppressAutoHyphens w:val="false"/>
        <w:rPr>
          <w:u w:val="single"/>
        </w:rPr>
      </w:pPr>
      <w:r>
        <w:rPr>
          <w:u w:val="single"/>
        </w:rPr>
      </w:r>
    </w:p>
    <w:p>
      <w:pPr>
        <w:pStyle w:val="Normal"/>
        <w:suppressAutoHyphens w:val="false"/>
        <w:rPr>
          <w:b/>
          <w:b/>
        </w:rPr>
      </w:pPr>
      <w:r>
        <w:rPr>
          <w:b/>
        </w:rPr>
      </w:r>
    </w:p>
    <w:p>
      <w:pPr>
        <w:pStyle w:val="Normal"/>
        <w:suppressAutoHyphens w:val="false"/>
        <w:rPr>
          <w:b/>
          <w:b/>
        </w:rPr>
      </w:pPr>
      <w:r>
        <w:rPr>
          <w:b/>
        </w:rPr>
        <w:t>BETYGSKRITERIER</w:t>
      </w:r>
    </w:p>
    <w:p>
      <w:pPr>
        <w:pStyle w:val="Normal"/>
        <w:rPr>
          <w:b/>
          <w:b/>
        </w:rPr>
      </w:pPr>
      <w:r>
        <w:rPr>
          <w:b/>
        </w:rPr>
      </w:r>
    </w:p>
    <w:p>
      <w:pPr>
        <w:pStyle w:val="Heading4"/>
        <w:numPr>
          <w:ilvl w:val="3"/>
          <w:numId w:val="1"/>
        </w:numPr>
        <w:rPr>
          <w:u w:val="single"/>
        </w:rPr>
      </w:pPr>
      <w:r>
        <w:rPr>
          <w:u w:val="single"/>
        </w:rPr>
        <w:t>Prov 1. Statistisk teori med tillämpningar I, tentamen, 6 högskolepoäng</w:t>
      </w:r>
    </w:p>
    <w:p>
      <w:pPr>
        <w:pStyle w:val="Normal"/>
        <w:jc w:val="both"/>
        <w:rPr/>
      </w:pPr>
      <w:r>
        <w:rPr/>
        <w:t>Prov 1 är en individuell skriftlig tentamen. Den skriftliga tentamen behandlar materialet enligt kursinnehållet. Skrivningen ger maximalt 100 poäng. Skrivtiden är fem timmar. Betygssättning på tentamen sker enligt en sjugradig målrelaterad betygsskala. För godkänt resultat finns betygen A, B, C, D och E, där A är högst och E är lägst. För underkänt resultat finns Fx och F. Ingen komplettering är möjlig vid underkänt betyg. Följande betygskriterier gäller:</w:t>
      </w:r>
    </w:p>
    <w:p>
      <w:pPr>
        <w:pStyle w:val="Normal"/>
        <w:jc w:val="both"/>
        <w:rPr/>
      </w:pPr>
      <w:r>
        <w:rPr/>
      </w:r>
    </w:p>
    <w:tbl>
      <w:tblPr>
        <w:tblStyle w:val="Tabellrutnt"/>
        <w:tblW w:w="951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519"/>
      </w:tblGrid>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 xml:space="preserve">A: </w:t>
            </w:r>
            <w:r>
              <w:rPr>
                <w:rFonts w:eastAsia="Times New Roman" w:cs="Times New Roman"/>
                <w:kern w:val="0"/>
                <w:lang w:val="sv-SE" w:bidi="ar-SA"/>
              </w:rPr>
              <w:t>Utmärkt. Studenten kan på ett utmärkt sätt använda begrepp och satser inom sannolikhetsteorin som inte nödvändigtvis direkt behandlas i kursdelen. Studenten kan på ett korrekt och välstrukturerat sätt lösa och tolka problem av fördjupad karaktär om fördelningar, ställa upp enkla statistiska modeller för några konkreta situationer. Kräver minst 90 poäng på den skriftliga tentamen.</w:t>
            </w:r>
          </w:p>
        </w:tc>
      </w:tr>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B:</w:t>
            </w:r>
            <w:r>
              <w:rPr>
                <w:rFonts w:eastAsia="Times New Roman" w:cs="Times New Roman"/>
                <w:kern w:val="0"/>
                <w:lang w:val="sv-SE" w:bidi="ar-SA"/>
              </w:rPr>
              <w:t xml:space="preserve"> Mycket bra. Studenten kan på ett mycket bra sätt använda begrepp och satser inom sannolikhetsteorin som behandlas i kursdelen. Studenten kan på ett korrekt och välstrukturerat sätt lösa och tolka problem av fördjupad karaktär om fördelningar, ställa upp enkla statistiska modeller för några konkreta situationer. Kräver 80-89 poäng på den skriftliga tentamen.</w:t>
            </w:r>
          </w:p>
        </w:tc>
      </w:tr>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C:</w:t>
            </w:r>
            <w:r>
              <w:rPr>
                <w:rFonts w:eastAsia="Times New Roman" w:cs="Times New Roman"/>
                <w:kern w:val="0"/>
                <w:lang w:val="sv-SE" w:bidi="ar-SA"/>
              </w:rPr>
              <w:t xml:space="preserve"> Bra. Studenten kan på ett bra sätt använda begrepp och satser inom sannolikhetsteorin som behandlas i kursdelen. Studenten kan på ett korrekt och välstrukturerat sätt lösa och tolka problem av fördjupad karaktär om fördelningar, ställa upp enkla statistiska modeller för några konkreta situationer. Kräver 70-79 poäng på den skriftliga tentamen.</w:t>
            </w:r>
          </w:p>
        </w:tc>
      </w:tr>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D:</w:t>
            </w:r>
            <w:r>
              <w:rPr>
                <w:rFonts w:eastAsia="Times New Roman" w:cs="Times New Roman"/>
                <w:kern w:val="0"/>
                <w:lang w:val="sv-SE" w:bidi="ar-SA"/>
              </w:rPr>
              <w:t xml:space="preserve"> Tillfredsställande. Studenten kan på ett tillfredsställande sätt använda begrepp och satser inom sannolikhetsteorin som behandlas i kursdelen. Studenten kan på ett korrekt sätt lösa och tolka problem av fördjupad karaktär om fördelningar, ställa upp enkla statistiska modeller för några konkreta situationer. Kräver 60-69 poäng på den skriftliga tentamen.</w:t>
            </w:r>
          </w:p>
        </w:tc>
      </w:tr>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E:</w:t>
            </w:r>
            <w:r>
              <w:rPr>
                <w:rFonts w:eastAsia="Times New Roman" w:cs="Times New Roman"/>
                <w:kern w:val="0"/>
                <w:lang w:val="sv-SE" w:bidi="ar-SA"/>
              </w:rPr>
              <w:t xml:space="preserve"> Tillräckligt. Studenten kan på ett tillräckligt sätt använda begrepp och satser inom sannolikhetsteorin som behandlas i kursdelen. Studenten kan på ett mestadels korrekt sätt lösa och tolka problem av fördjupad karaktär om fördelningar, ställa upp enkla statistiska modeller för några konkreta situationer. Kräver 50-59 poäng på den skriftliga tentamen.</w:t>
            </w:r>
          </w:p>
        </w:tc>
      </w:tr>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Fx:</w:t>
            </w:r>
            <w:r>
              <w:rPr>
                <w:rFonts w:eastAsia="Times New Roman" w:cs="Times New Roman"/>
                <w:kern w:val="0"/>
                <w:lang w:val="sv-SE" w:bidi="ar-SA"/>
              </w:rPr>
              <w:t xml:space="preserve"> Underkänd, något mer arbete krävs. Motsvarar 40-49 poäng på den skriftliga tentamen. Omtentamen krävs.</w:t>
            </w:r>
          </w:p>
        </w:tc>
      </w:tr>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F:</w:t>
            </w:r>
            <w:r>
              <w:rPr>
                <w:rFonts w:eastAsia="Times New Roman" w:cs="Times New Roman"/>
                <w:kern w:val="0"/>
                <w:lang w:val="sv-SE" w:bidi="ar-SA"/>
              </w:rPr>
              <w:t xml:space="preserve"> Underkänd, mycket mer arbete krävs. Motsvarar 0-39 poäng på den skriftliga tentamen. Omtentamen krävs.</w:t>
            </w:r>
          </w:p>
        </w:tc>
      </w:tr>
    </w:tbl>
    <w:p>
      <w:pPr>
        <w:pStyle w:val="Heading4"/>
        <w:numPr>
          <w:ilvl w:val="3"/>
          <w:numId w:val="1"/>
        </w:numPr>
        <w:rPr>
          <w:u w:val="single"/>
        </w:rPr>
      </w:pPr>
      <w:r>
        <w:rPr>
          <w:u w:val="single"/>
        </w:rPr>
      </w:r>
    </w:p>
    <w:p>
      <w:pPr>
        <w:pStyle w:val="Normal"/>
        <w:rPr/>
      </w:pPr>
      <w:r>
        <w:rPr/>
      </w:r>
    </w:p>
    <w:p>
      <w:pPr>
        <w:pStyle w:val="Heading4"/>
        <w:numPr>
          <w:ilvl w:val="3"/>
          <w:numId w:val="1"/>
        </w:numPr>
        <w:rPr>
          <w:u w:val="single"/>
        </w:rPr>
      </w:pPr>
      <w:r>
        <w:rPr>
          <w:u w:val="single"/>
        </w:rPr>
        <w:t xml:space="preserve">Prov 2. Inlämningsuppgift i Statistisk teori med tillämpningar I, 1.5 högskolepoäng </w:t>
      </w:r>
    </w:p>
    <w:p>
      <w:pPr>
        <w:pStyle w:val="Normal"/>
        <w:suppressAutoHyphens w:val="false"/>
        <w:rPr/>
      </w:pPr>
      <w:r>
        <w:rPr/>
      </w:r>
    </w:p>
    <w:p>
      <w:pPr>
        <w:pStyle w:val="Normal"/>
        <w:rPr/>
      </w:pPr>
      <w:r>
        <w:rPr/>
        <w:t>Betygssättning på inlämningsuppgiften sker med betygen Godkänd (G) eller Underkänd (U). Följande betygskriterier gäller:</w:t>
      </w:r>
    </w:p>
    <w:p>
      <w:pPr>
        <w:pStyle w:val="Normal"/>
        <w:rPr/>
      </w:pPr>
      <w:r>
        <w:rPr/>
      </w:r>
    </w:p>
    <w:tbl>
      <w:tblPr>
        <w:tblStyle w:val="Tabellrutnt"/>
        <w:tblW w:w="951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519"/>
      </w:tblGrid>
      <w:tr>
        <w:trPr/>
        <w:tc>
          <w:tcPr>
            <w:tcW w:w="9519" w:type="dxa"/>
            <w:tcBorders/>
          </w:tcPr>
          <w:p>
            <w:pPr>
              <w:pStyle w:val="Normal"/>
              <w:widowControl/>
              <w:spacing w:before="0" w:after="0"/>
              <w:jc w:val="left"/>
              <w:rPr>
                <w:rFonts w:ascii="Times New Roman" w:hAnsi="Times New Roman" w:cs="Times New Roman"/>
                <w:kern w:val="0"/>
                <w:lang w:val="sv-SE" w:bidi="ar-SA"/>
              </w:rPr>
            </w:pPr>
            <w:r>
              <w:rPr>
                <w:rFonts w:eastAsia="Times New Roman" w:cs="Times New Roman"/>
                <w:b/>
                <w:kern w:val="0"/>
                <w:lang w:val="sv-SE" w:bidi="ar-SA"/>
              </w:rPr>
              <w:t>G:</w:t>
            </w:r>
            <w:r>
              <w:rPr>
                <w:rFonts w:eastAsia="Times New Roman" w:cs="Times New Roman"/>
                <w:kern w:val="0"/>
                <w:lang w:val="sv-SE" w:bidi="ar-SA"/>
              </w:rPr>
              <w:t xml:space="preserve"> Studenten har ställt upp lämpliga statistiska modeller för givna situationer, har visat tillräcklig förmåga att använda grundläggande statistisk terminologi, har använt den statistiska programvaran SAS på ett korrekt sätt, samt har presenterat resultaten i en skriftlig rapport i enlighet med instruktionerna. Studenten skall ha varit n</w:t>
            </w:r>
            <w:r>
              <w:rPr>
                <w:rFonts w:eastAsia="MS Mincho" w:cs="Times New Roman"/>
                <w:kern w:val="0"/>
                <w:lang w:val="sv-SE" w:bidi="ar-SA"/>
              </w:rPr>
              <w:t>ä</w:t>
            </w:r>
            <w:r>
              <w:rPr>
                <w:rFonts w:eastAsia="Times New Roman" w:cs="Times New Roman"/>
                <w:kern w:val="0"/>
                <w:lang w:val="sv-SE" w:bidi="ar-SA"/>
              </w:rPr>
              <w:t>rvarande vid alla obligatoriska undervisningstillfällen.</w:t>
            </w:r>
          </w:p>
        </w:tc>
      </w:tr>
      <w:tr>
        <w:trPr/>
        <w:tc>
          <w:tcPr>
            <w:tcW w:w="9519" w:type="dxa"/>
            <w:tcBorders/>
          </w:tcPr>
          <w:p>
            <w:pPr>
              <w:pStyle w:val="Normal"/>
              <w:widowControl/>
              <w:spacing w:before="0" w:after="0"/>
              <w:jc w:val="left"/>
              <w:rPr>
                <w:rFonts w:ascii="Times New Roman" w:hAnsi="Times New Roman" w:cs="Times New Roman"/>
                <w:kern w:val="0"/>
                <w:lang w:val="sv-SE" w:bidi="ar-SA"/>
              </w:rPr>
            </w:pPr>
            <w:r>
              <w:rPr>
                <w:rFonts w:eastAsia="Times New Roman" w:cs="Times New Roman"/>
                <w:b/>
                <w:kern w:val="0"/>
                <w:lang w:val="sv-SE" w:bidi="ar-SA"/>
              </w:rPr>
              <w:t>U:</w:t>
            </w:r>
            <w:r>
              <w:rPr>
                <w:rFonts w:eastAsia="Times New Roman" w:cs="Times New Roman"/>
                <w:kern w:val="0"/>
                <w:lang w:val="sv-SE" w:bidi="ar-SA"/>
              </w:rPr>
              <w:t xml:space="preserve"> Studenten har felaktigt utfört analyser och/eller har feltolkat resultaten och/eller har misslyckats med att använda grundläggande statistisk terminologi/begrepp i samband med lösandet av inlämningsuppgiften. Om studenten inte har varit n</w:t>
            </w:r>
            <w:r>
              <w:rPr>
                <w:rFonts w:eastAsia="MS Mincho" w:cs="Times New Roman"/>
                <w:kern w:val="0"/>
                <w:lang w:val="sv-SE" w:bidi="ar-SA"/>
              </w:rPr>
              <w:t>ä</w:t>
            </w:r>
            <w:r>
              <w:rPr>
                <w:rFonts w:eastAsia="Times New Roman" w:cs="Times New Roman"/>
                <w:kern w:val="0"/>
                <w:lang w:val="sv-SE" w:bidi="ar-SA"/>
              </w:rPr>
              <w:t>rvarande vid alla obligatoriska undervisningstillfällen meddelas betyget underkänd.</w:t>
            </w:r>
          </w:p>
        </w:tc>
      </w:tr>
    </w:tbl>
    <w:p>
      <w:pPr>
        <w:pStyle w:val="Normal"/>
        <w:rPr/>
      </w:pPr>
      <w:r>
        <w:rPr/>
      </w:r>
    </w:p>
    <w:p>
      <w:pPr>
        <w:pStyle w:val="Normal"/>
        <w:rPr/>
      </w:pPr>
      <w:r>
        <w:rPr/>
      </w:r>
    </w:p>
    <w:p>
      <w:pPr>
        <w:pStyle w:val="Heading4"/>
        <w:numPr>
          <w:ilvl w:val="3"/>
          <w:numId w:val="1"/>
        </w:numPr>
        <w:rPr>
          <w:u w:val="single"/>
        </w:rPr>
      </w:pPr>
      <w:r>
        <w:rPr>
          <w:u w:val="single"/>
        </w:rPr>
        <w:t>Prov 3. Statistisk teori med tillämpningar II, tentamen, 6 högskolepoäng</w:t>
      </w:r>
    </w:p>
    <w:p>
      <w:pPr>
        <w:pStyle w:val="Normal"/>
        <w:suppressAutoHyphens w:val="false"/>
        <w:spacing w:before="0" w:after="120"/>
        <w:rPr>
          <w:color w:val="0070C0"/>
        </w:rPr>
      </w:pPr>
      <w:r>
        <w:rPr>
          <w:color w:val="0070C0"/>
        </w:rPr>
      </w:r>
    </w:p>
    <w:p>
      <w:pPr>
        <w:pStyle w:val="Normal"/>
        <w:rPr/>
      </w:pPr>
      <w:r>
        <w:rPr/>
        <w:t>Prov 3 är en individuell skriftlig tentamen. Den skriftliga tentamen behandlar materialet enligt kursinnehållet. Skrivningen ger maximalt 100 poäng. Skrivtiden är fem timmar. Betygssättning på tentamen sker enligt en sjugradig målrelaterad betygsskala. För godkänt resultat finns betygen A, B, C, D och E, där A är högst och E är lägst. För underkänt resultat finns Fx och F. Ingen komplettering är möjlig vid underkänt betyg. Följande betygskriterier gäller:</w:t>
      </w:r>
    </w:p>
    <w:p>
      <w:pPr>
        <w:pStyle w:val="Normal"/>
        <w:rPr/>
      </w:pPr>
      <w:r>
        <w:rPr/>
      </w:r>
    </w:p>
    <w:tbl>
      <w:tblPr>
        <w:tblStyle w:val="Tabellrutnt"/>
        <w:tblW w:w="951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519"/>
      </w:tblGrid>
      <w:tr>
        <w:trPr/>
        <w:tc>
          <w:tcPr>
            <w:tcW w:w="9519" w:type="dxa"/>
            <w:tcBorders/>
          </w:tcPr>
          <w:p>
            <w:pPr>
              <w:pStyle w:val="Normal"/>
              <w:widowControl/>
              <w:tabs>
                <w:tab w:val="clear" w:pos="624"/>
                <w:tab w:val="left" w:pos="284" w:leader="none"/>
              </w:tabs>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A:</w:t>
            </w:r>
            <w:r>
              <w:rPr>
                <w:rFonts w:eastAsia="Times New Roman" w:cs="Times New Roman"/>
                <w:kern w:val="0"/>
                <w:lang w:val="sv-SE" w:bidi="ar-SA"/>
              </w:rPr>
              <w:t xml:space="preserve"> Utmärkt. Studenten kan på ett utmärkt sätt använda begrepp och satser inom den statistiska interferensteori som inte nödvändigtvis direkt behandlas i kursdelen. Studenten kan på ett korrekt och välstrukturerat sätt beräkna och tolka punkt- och intervallskattningar av modellparametrar samt utföra hypotesprövning av modellparametrar. Kräver minst 90 poäng på den skriftliga tentamen.</w:t>
            </w:r>
          </w:p>
        </w:tc>
      </w:tr>
      <w:tr>
        <w:trPr/>
        <w:tc>
          <w:tcPr>
            <w:tcW w:w="9519" w:type="dxa"/>
            <w:tcBorders/>
          </w:tcPr>
          <w:p>
            <w:pPr>
              <w:pStyle w:val="Normal"/>
              <w:widowControl/>
              <w:tabs>
                <w:tab w:val="clear" w:pos="624"/>
                <w:tab w:val="left" w:pos="284" w:leader="none"/>
              </w:tabs>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B:</w:t>
            </w:r>
            <w:r>
              <w:rPr>
                <w:rFonts w:eastAsia="Times New Roman" w:cs="Times New Roman"/>
                <w:kern w:val="0"/>
                <w:lang w:val="sv-SE" w:bidi="ar-SA"/>
              </w:rPr>
              <w:t xml:space="preserve"> Mycket bra. Studenten kan på ett mycket bra sätt använda begrepp och satser inom den statistiska interferensteori som behandlas i kursdelen. Studenten kan på ett korrekt och välstrukturerat sätt beräkna och tolka punkt- och intervallskattningar av modellparametrar samt utföra hypotesprövning av modellparametrar. Kräver 80-89 poäng på den skriftliga tentamen.</w:t>
            </w:r>
          </w:p>
        </w:tc>
      </w:tr>
      <w:tr>
        <w:trPr/>
        <w:tc>
          <w:tcPr>
            <w:tcW w:w="9519" w:type="dxa"/>
            <w:tcBorders/>
          </w:tcPr>
          <w:p>
            <w:pPr>
              <w:pStyle w:val="Normal"/>
              <w:widowControl/>
              <w:tabs>
                <w:tab w:val="clear" w:pos="624"/>
                <w:tab w:val="left" w:pos="284" w:leader="none"/>
              </w:tabs>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C:</w:t>
            </w:r>
            <w:r>
              <w:rPr>
                <w:rFonts w:eastAsia="Times New Roman" w:cs="Times New Roman"/>
                <w:kern w:val="0"/>
                <w:lang w:val="sv-SE" w:bidi="ar-SA"/>
              </w:rPr>
              <w:t xml:space="preserve"> Bra. Studenten kan på ett bra sätt använda begrepp och satser inom den statistiska interferensteori som behandlas i kursdelen. Studenten kan på ett korrekt och välstrukturerat sätt beräkna och tolka punkt- och intervallskattningar av modellparametrar. Kräver 70-79 poäng  på den skriftliga tentamen.</w:t>
            </w:r>
          </w:p>
        </w:tc>
      </w:tr>
      <w:tr>
        <w:trPr/>
        <w:tc>
          <w:tcPr>
            <w:tcW w:w="9519" w:type="dxa"/>
            <w:tcBorders/>
          </w:tcPr>
          <w:p>
            <w:pPr>
              <w:pStyle w:val="Normal"/>
              <w:widowControl/>
              <w:tabs>
                <w:tab w:val="clear" w:pos="624"/>
                <w:tab w:val="left" w:pos="284" w:leader="none"/>
              </w:tabs>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D:</w:t>
            </w:r>
            <w:r>
              <w:rPr>
                <w:rFonts w:eastAsia="Times New Roman" w:cs="Times New Roman"/>
                <w:kern w:val="0"/>
                <w:lang w:val="sv-SE" w:bidi="ar-SA"/>
              </w:rPr>
              <w:t xml:space="preserve"> Tillfredsställande. Studenten kan på ett tillfredsställande sätt använda begrepp och satser inom den statistiska interferensteori som behandlas i kursdelen. Studenten kan på ett korrekt sätt beräkna och tolka punkt- och intervallskattningar av modellparametrar. Kräver 60-69 poäng på den skriftliga tentamen.</w:t>
            </w:r>
          </w:p>
        </w:tc>
      </w:tr>
      <w:tr>
        <w:trPr/>
        <w:tc>
          <w:tcPr>
            <w:tcW w:w="9519" w:type="dxa"/>
            <w:tcBorders/>
          </w:tcPr>
          <w:p>
            <w:pPr>
              <w:pStyle w:val="Normal"/>
              <w:widowControl/>
              <w:tabs>
                <w:tab w:val="clear" w:pos="624"/>
                <w:tab w:val="left" w:pos="284" w:leader="none"/>
              </w:tabs>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E:</w:t>
            </w:r>
            <w:r>
              <w:rPr>
                <w:rFonts w:eastAsia="Times New Roman" w:cs="Times New Roman"/>
                <w:kern w:val="0"/>
                <w:lang w:val="sv-SE" w:bidi="ar-SA"/>
              </w:rPr>
              <w:t xml:space="preserve"> Tillräckligt. Studenten kan på ett tillräckligt sätt använda begrepp och satser inom den statistiska interferensteorin som behandlas i kursdelen. Studenten kan på ett mestadels korrekt sätt beräkna och tolka punkt- och intervallskattningar av modellparametrar. Kräver 50-59 poäng på den skriftliga tentamen.</w:t>
            </w:r>
          </w:p>
        </w:tc>
      </w:tr>
      <w:tr>
        <w:trPr/>
        <w:tc>
          <w:tcPr>
            <w:tcW w:w="9519" w:type="dxa"/>
            <w:tcBorders/>
          </w:tcPr>
          <w:p>
            <w:pPr>
              <w:pStyle w:val="Normal"/>
              <w:widowControl/>
              <w:tabs>
                <w:tab w:val="clear" w:pos="624"/>
                <w:tab w:val="left" w:pos="284" w:leader="none"/>
              </w:tabs>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 xml:space="preserve">Fx: </w:t>
            </w:r>
            <w:r>
              <w:rPr>
                <w:rFonts w:eastAsia="Times New Roman" w:cs="Times New Roman"/>
                <w:kern w:val="0"/>
                <w:lang w:val="sv-SE" w:bidi="ar-SA"/>
              </w:rPr>
              <w:t>Underkänd, något mer arbete krävs. Motsvarar 40-49 poäng på den skriftliga tentamen. Omtentamen krävs.</w:t>
            </w:r>
          </w:p>
        </w:tc>
      </w:tr>
      <w:tr>
        <w:trPr/>
        <w:tc>
          <w:tcPr>
            <w:tcW w:w="9519" w:type="dxa"/>
            <w:tcBorders/>
          </w:tcPr>
          <w:p>
            <w:pPr>
              <w:pStyle w:val="Normal"/>
              <w:widowControl/>
              <w:spacing w:before="0" w:after="0"/>
              <w:jc w:val="left"/>
              <w:rPr>
                <w:rFonts w:ascii="Times New Roman" w:hAnsi="Times New Roman" w:eastAsia="Times New Roman" w:cs="Times New Roman"/>
                <w:kern w:val="0"/>
                <w:lang w:val="sv-SE" w:bidi="ar-SA"/>
              </w:rPr>
            </w:pPr>
            <w:r>
              <w:rPr>
                <w:rFonts w:eastAsia="Times New Roman" w:cs="Times New Roman"/>
                <w:b/>
                <w:kern w:val="0"/>
                <w:lang w:val="sv-SE" w:bidi="ar-SA"/>
              </w:rPr>
              <w:t>F:</w:t>
            </w:r>
            <w:r>
              <w:rPr>
                <w:rFonts w:eastAsia="Times New Roman" w:cs="Times New Roman"/>
                <w:kern w:val="0"/>
                <w:lang w:val="sv-SE" w:bidi="ar-SA"/>
              </w:rPr>
              <w:t xml:space="preserve"> Underkänd, mycket mer arbete krävs. Motsvarar 0-39 poäng på den skriftliga tentamen. Omtentamen krävs.</w:t>
            </w:r>
          </w:p>
        </w:tc>
      </w:tr>
    </w:tbl>
    <w:p>
      <w:pPr>
        <w:pStyle w:val="Normal"/>
        <w:rPr/>
      </w:pPr>
      <w:r>
        <w:rPr/>
      </w:r>
    </w:p>
    <w:p>
      <w:pPr>
        <w:pStyle w:val="Normal"/>
        <w:rPr/>
      </w:pPr>
      <w:r>
        <w:rPr/>
      </w:r>
    </w:p>
    <w:p>
      <w:pPr>
        <w:pStyle w:val="Heading4"/>
        <w:numPr>
          <w:ilvl w:val="3"/>
          <w:numId w:val="1"/>
        </w:numPr>
        <w:rPr>
          <w:u w:val="single"/>
        </w:rPr>
      </w:pPr>
      <w:r>
        <w:rPr>
          <w:u w:val="single"/>
        </w:rPr>
        <w:t>Prov 4. Inlämningsuppgift i Statistisk teori med tillämpningar II, 1.5 högskolepoäng</w:t>
      </w:r>
    </w:p>
    <w:p>
      <w:pPr>
        <w:pStyle w:val="Normal"/>
        <w:rPr/>
      </w:pPr>
      <w:r>
        <w:rPr/>
      </w:r>
    </w:p>
    <w:p>
      <w:pPr>
        <w:pStyle w:val="Normal"/>
        <w:rPr/>
      </w:pPr>
      <w:r>
        <w:rPr/>
        <w:t>Betygssättning på inlämningsuppgiften sker med betygen Godkänd (G) eller Underkänd (U). Följande betygskriterier gäller:</w:t>
      </w:r>
    </w:p>
    <w:p>
      <w:pPr>
        <w:pStyle w:val="Normal"/>
        <w:rPr/>
      </w:pPr>
      <w:r>
        <w:rPr/>
      </w:r>
    </w:p>
    <w:tbl>
      <w:tblPr>
        <w:tblStyle w:val="Tabellrutnt"/>
        <w:tblW w:w="951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519"/>
      </w:tblGrid>
      <w:tr>
        <w:trPr/>
        <w:tc>
          <w:tcPr>
            <w:tcW w:w="9519" w:type="dxa"/>
            <w:tcBorders/>
          </w:tcPr>
          <w:p>
            <w:pPr>
              <w:pStyle w:val="Normal"/>
              <w:widowControl/>
              <w:spacing w:before="0" w:after="0"/>
              <w:jc w:val="left"/>
              <w:rPr>
                <w:rFonts w:ascii="Times New Roman" w:hAnsi="Times New Roman" w:cs="Times New Roman"/>
                <w:kern w:val="0"/>
                <w:lang w:val="sv-SE" w:bidi="ar-SA"/>
              </w:rPr>
            </w:pPr>
            <w:r>
              <w:rPr>
                <w:rFonts w:eastAsia="Times New Roman" w:cs="Times New Roman"/>
                <w:b/>
                <w:kern w:val="0"/>
                <w:lang w:val="sv-SE" w:bidi="ar-SA"/>
              </w:rPr>
              <w:t>G:</w:t>
            </w:r>
            <w:r>
              <w:rPr>
                <w:rFonts w:eastAsia="Times New Roman" w:cs="Times New Roman"/>
                <w:kern w:val="0"/>
                <w:lang w:val="sv-SE" w:bidi="ar-SA"/>
              </w:rPr>
              <w:t xml:space="preserve"> Studenten har visat tillräcklig förmåga att beräkna och tolka punkt- och intervallskattningar och utföra hypotesprövning av modellparametrar, har visat tillräcklig förmåga att använda grundläggande statistisk terminologi, har använt den statistiska programvaran SAS på ett korrekt sätt, samt har presenterat resultaten i en skriftlig rapport i enlighet med instruktionerna. Studenten skall ha varit n</w:t>
            </w:r>
            <w:r>
              <w:rPr>
                <w:rFonts w:eastAsia="MS Mincho" w:cs="Times New Roman"/>
                <w:kern w:val="0"/>
                <w:lang w:val="sv-SE" w:bidi="ar-SA"/>
              </w:rPr>
              <w:t>ä</w:t>
            </w:r>
            <w:r>
              <w:rPr>
                <w:rFonts w:eastAsia="Times New Roman" w:cs="Times New Roman"/>
                <w:kern w:val="0"/>
                <w:lang w:val="sv-SE" w:bidi="ar-SA"/>
              </w:rPr>
              <w:t>rvarande vid alla obligatoriska undervisningstillfällen.</w:t>
            </w:r>
          </w:p>
        </w:tc>
      </w:tr>
      <w:tr>
        <w:trPr/>
        <w:tc>
          <w:tcPr>
            <w:tcW w:w="9519" w:type="dxa"/>
            <w:tcBorders/>
          </w:tcPr>
          <w:p>
            <w:pPr>
              <w:pStyle w:val="Normal"/>
              <w:widowControl/>
              <w:spacing w:before="0" w:after="0"/>
              <w:jc w:val="left"/>
              <w:rPr>
                <w:rFonts w:ascii="Times New Roman" w:hAnsi="Times New Roman" w:cs="Times New Roman"/>
                <w:kern w:val="0"/>
                <w:lang w:val="sv-SE" w:bidi="ar-SA"/>
              </w:rPr>
            </w:pPr>
            <w:r>
              <w:rPr>
                <w:rFonts w:eastAsia="Times New Roman" w:cs="Times New Roman"/>
                <w:b/>
                <w:kern w:val="0"/>
                <w:lang w:val="sv-SE" w:bidi="ar-SA"/>
              </w:rPr>
              <w:t>U:</w:t>
            </w:r>
            <w:r>
              <w:rPr>
                <w:rFonts w:eastAsia="Times New Roman" w:cs="Times New Roman"/>
                <w:kern w:val="0"/>
                <w:lang w:val="sv-SE" w:bidi="ar-SA"/>
              </w:rPr>
              <w:t xml:space="preserve"> Betyget underkänt meddelas om studenten har visat otillräcklig förmåga att beräkna och tolka punkt- och intervallskattningar och utföra hypotesprövning av modellparametrar och/eller har feltolkat resultaten och/eller har misslyckats med att använda grundläggande statistisk terminologi/begrepp i samband med lösandet av inlämningsuppgiften. Om studenten inte har varit n</w:t>
            </w:r>
            <w:r>
              <w:rPr>
                <w:rFonts w:eastAsia="MS Mincho" w:cs="Times New Roman"/>
                <w:kern w:val="0"/>
                <w:lang w:val="sv-SE" w:bidi="ar-SA"/>
              </w:rPr>
              <w:t>ä</w:t>
            </w:r>
            <w:r>
              <w:rPr>
                <w:rFonts w:eastAsia="Times New Roman" w:cs="Times New Roman"/>
                <w:kern w:val="0"/>
                <w:lang w:val="sv-SE" w:bidi="ar-SA"/>
              </w:rPr>
              <w:t>rvarande vid alla obligatoriska undervisningstillfällen meddelas betyget underkänd.</w:t>
            </w:r>
          </w:p>
        </w:tc>
      </w:tr>
    </w:tbl>
    <w:p>
      <w:pPr>
        <w:pStyle w:val="Heading1"/>
        <w:rPr/>
      </w:pPr>
      <w:r>
        <w:rPr/>
        <w:t xml:space="preserve">UNDERVISNINGSPLAN  </w:t>
      </w:r>
    </w:p>
    <w:p>
      <w:pPr>
        <w:pStyle w:val="Heading1"/>
        <w:rPr/>
      </w:pPr>
      <w:r>
        <w:rPr/>
      </w:r>
    </w:p>
    <w:p>
      <w:pPr>
        <w:pStyle w:val="Heading4"/>
        <w:numPr>
          <w:ilvl w:val="3"/>
          <w:numId w:val="1"/>
        </w:numPr>
        <w:rPr>
          <w:u w:val="single"/>
        </w:rPr>
      </w:pPr>
      <w:r>
        <w:rPr>
          <w:u w:val="single"/>
        </w:rPr>
        <w:t>Del I: Statistisk teori med tillämpningar I</w:t>
      </w:r>
    </w:p>
    <w:p>
      <w:pPr>
        <w:pStyle w:val="Normal"/>
        <w:rPr/>
      </w:pPr>
      <w:r>
        <w:rPr/>
      </w:r>
    </w:p>
    <w:p>
      <w:pPr>
        <w:pStyle w:val="Normal"/>
        <w:jc w:val="both"/>
        <w:rPr/>
      </w:pPr>
      <w:r>
        <w:rPr/>
        <w:t xml:space="preserve">Nedan ges ett preliminärt schema över innehåll respektive litteratur alt. övningsuppgifter vid varje undervisningstillfälle. Obs! </w:t>
      </w:r>
      <w:r>
        <w:rPr>
          <w:b/>
        </w:rPr>
        <w:t>MBV</w:t>
      </w:r>
      <w:r>
        <w:rPr/>
        <w:t xml:space="preserve"> syftar på boken </w:t>
      </w:r>
      <w:r>
        <w:rPr>
          <w:b/>
        </w:rPr>
        <w:t>Mot bättre vetande i matematik</w:t>
      </w:r>
      <w:r>
        <w:rPr/>
        <w:t xml:space="preserve"> och </w:t>
      </w:r>
      <w:r>
        <w:rPr>
          <w:b/>
        </w:rPr>
        <w:t xml:space="preserve">MS </w:t>
      </w:r>
      <w:r>
        <w:rPr/>
        <w:t xml:space="preserve">syftar på boken </w:t>
      </w:r>
      <w:r>
        <w:rPr>
          <w:b/>
        </w:rPr>
        <w:t>Mathematical Statistics with Applications</w:t>
      </w:r>
      <w:r>
        <w:rPr/>
        <w:t xml:space="preserve">. </w:t>
      </w:r>
    </w:p>
    <w:p>
      <w:pPr>
        <w:pStyle w:val="Normal"/>
        <w:rPr/>
      </w:pPr>
      <w:r>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603"/>
        <w:gridCol w:w="6060"/>
        <w:gridCol w:w="2976"/>
      </w:tblGrid>
      <w:tr>
        <w:trPr>
          <w:cnfStyle w:val="100000000000" w:firstRow="1" w:lastRow="0" w:firstColumn="0" w:lastColumn="0" w:oddVBand="0" w:evenVBand="0" w:oddHBand="0" w:evenHBand="0" w:firstRowFirstColumn="0" w:firstRowLastColumn="0" w:lastRowFirstColumn="0" w:lastRowLastColumn="0"/>
        </w:trPr>
        <w:tc>
          <w:tcPr>
            <w:tcW w:w="9639" w:type="dxa"/>
            <w:gridSpan w:val="3"/>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Föreläsningar</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Innehåll</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Förberedelse</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F1 </w:t>
            </w:r>
          </w:p>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Information om kursen. Matematik/repetition: Summasymbolen. Funktioner. Potensbegreppet. Exponential- och logaritmfunktioner.</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MBV kap 1.1-1.3, 1.5, 1.8, 1.9, 2.1, 2.5, 2.8, 2.9, 3.1-3.4; Läs MS kap 1-2</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F2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Stokastiska variabler. Diskreta stokastiska variabler och deras sannolikhetsfördelningar. Väntevärde. Varians.</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3.1-3.3</w:t>
            </w:r>
          </w:p>
        </w:tc>
      </w:tr>
      <w:tr>
        <w:trPr>
          <w:trHeight w:val="395" w:hRule="atLeast"/>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F3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Diskreta sannolikhetsfördelningar. </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Läs MS kap 3.4-3.8, 3.12 </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F4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Derivata och några deriveringsregler. Integration.</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MBV 6.1-6.4, 7.1, 7.2,7.5</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F5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Kontinuerliga stokastiska variabler. Fördelningsfunktion. Täthetsfunktion. Väntevärde. Varians.</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Läs: MS kap 4.1-4.3, 4.8, 4.12 </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F6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Kontinuerliga sannolikhetsfördelningar.</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4.4-4.6</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F7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Funktioner av stokastiska variabler.</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6.1-6.4</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F8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Funktioner av stokastiska variabler, forts. Ordningsvärden.</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6.7</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F9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Funktioner av flera variabler. Partiella derivator. Dubbelintegraler. Multivariata sannolikhetsfördelningar. </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5.1-5.2</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F10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Simultana fördelningar och marginalfördelningar. Betingade fördelningar. Oberoende.</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5.3-5.4</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F11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Multivariata sannolikhetsfördelningar, forts. Väntevärde. Kovarians.</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5.5-5:7</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F12</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Multivariata sannolikhetsfördelningar, forts. Väntevärde och varians för linjärkombinationer av stokastiska variabler. Multinomial fördelning.</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5.8-5.9,</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F13 </w:t>
            </w:r>
          </w:p>
        </w:tc>
        <w:tc>
          <w:tcPr>
            <w:tcW w:w="6060"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Genomgång av gamla tentamen.</w:t>
            </w:r>
          </w:p>
        </w:tc>
        <w:tc>
          <w:tcPr>
            <w:tcW w:w="2976"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r>
          </w:p>
        </w:tc>
      </w:tr>
    </w:tbl>
    <w:p>
      <w:pPr>
        <w:pStyle w:val="Normal"/>
        <w:rPr/>
      </w:pPr>
      <w:r>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749"/>
        <w:gridCol w:w="3685"/>
        <w:gridCol w:w="5205"/>
      </w:tblGrid>
      <w:tr>
        <w:trPr>
          <w:cnfStyle w:val="100000000000" w:firstRow="1" w:lastRow="0" w:firstColumn="0" w:lastColumn="0" w:oddVBand="0" w:evenVBand="0" w:oddHBand="0" w:evenHBand="0" w:firstRowFirstColumn="0" w:firstRowLastColumn="0" w:lastRowFirstColumn="0" w:lastRowLastColumn="0"/>
        </w:trPr>
        <w:tc>
          <w:tcPr>
            <w:tcW w:w="9639" w:type="dxa"/>
            <w:gridSpan w:val="3"/>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Matematiska övningar</w:t>
            </w:r>
          </w:p>
        </w:tc>
      </w:tr>
      <w:tr>
        <w:trPr/>
        <w:tc>
          <w:tcPr>
            <w:tcW w:w="749"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r>
          </w:p>
        </w:tc>
        <w:tc>
          <w:tcPr>
            <w:tcW w:w="368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Innehåll</w:t>
            </w:r>
          </w:p>
        </w:tc>
        <w:tc>
          <w:tcPr>
            <w:tcW w:w="52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Uppgifter ur MBV</w:t>
            </w:r>
          </w:p>
        </w:tc>
      </w:tr>
      <w:tr>
        <w:trPr/>
        <w:tc>
          <w:tcPr>
            <w:tcW w:w="749"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MÖ1</w:t>
            </w:r>
          </w:p>
        </w:tc>
        <w:tc>
          <w:tcPr>
            <w:tcW w:w="368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kern w:val="0"/>
                <w:lang w:val="en-US" w:bidi="ar-SA"/>
              </w:rPr>
              <w:t xml:space="preserve">Numeriska beräkningar. Ekvationer. Absolutbelopp. </w:t>
            </w:r>
          </w:p>
        </w:tc>
        <w:tc>
          <w:tcPr>
            <w:tcW w:w="52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kern w:val="0"/>
                <w:lang w:val="en-US" w:bidi="ar-SA"/>
              </w:rPr>
              <w:t xml:space="preserve">1.1-1.3, 1.7 a, 1.11 a-b, 1.14 d, 1.15 b, f-h,1.25 a, 1.27 a, 1.34 a-b, 1.35 a, 1.49 a, </w:t>
            </w:r>
            <w:r>
              <w:rPr>
                <w:rFonts w:eastAsia="Times New Roman" w:cs="Times New Roman"/>
                <w:kern w:val="0"/>
                <w:lang w:val="en-GB" w:bidi="ar-SA"/>
              </w:rPr>
              <w:t>1.52 a, 1.54, 2.1 a-b, 2.6 a-c,  2.16 a, 2.19 a-d, 2.20 a-b</w:t>
            </w:r>
          </w:p>
        </w:tc>
      </w:tr>
      <w:tr>
        <w:trPr/>
        <w:tc>
          <w:tcPr>
            <w:tcW w:w="749"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lang w:val="en-US"/>
              </w:rPr>
            </w:pPr>
            <w:r>
              <w:rPr>
                <w:rFonts w:eastAsia="Times New Roman" w:cs="Times New Roman"/>
                <w:b/>
                <w:bCs/>
                <w:kern w:val="0"/>
                <w:lang w:val="en-US" w:bidi="ar-SA"/>
              </w:rPr>
              <w:t>MÖ2</w:t>
            </w:r>
          </w:p>
        </w:tc>
        <w:tc>
          <w:tcPr>
            <w:tcW w:w="368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GB"/>
              </w:rPr>
            </w:pPr>
            <w:r>
              <w:rPr>
                <w:rFonts w:eastAsia="Times New Roman" w:cs="Times New Roman"/>
                <w:kern w:val="0"/>
                <w:lang w:val="en-US" w:bidi="ar-SA"/>
              </w:rPr>
              <w:t>Rötter. Potenser. Logaritmer.</w:t>
            </w:r>
          </w:p>
        </w:tc>
        <w:tc>
          <w:tcPr>
            <w:tcW w:w="52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it-IT"/>
              </w:rPr>
            </w:pPr>
            <w:r>
              <w:rPr>
                <w:rFonts w:eastAsia="Times New Roman" w:cs="Times New Roman"/>
                <w:kern w:val="0"/>
                <w:lang w:val="it-IT" w:bidi="ar-SA"/>
              </w:rPr>
              <w:t>3.1 a-b, 3.2 a-b, 3.3 a, d, 3.6 a-b, d, 3.9 a, 3.10 a, d-e, 3.13 a,  3.15 a-b, e-g, 3.16 c, h, 3.17 c, 3.28 c-d, 3.31 a</w:t>
            </w:r>
          </w:p>
        </w:tc>
      </w:tr>
      <w:tr>
        <w:trPr/>
        <w:tc>
          <w:tcPr>
            <w:tcW w:w="749"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lang w:val="en-US"/>
              </w:rPr>
            </w:pPr>
            <w:r>
              <w:rPr>
                <w:rFonts w:eastAsia="Times New Roman" w:cs="Times New Roman"/>
                <w:b/>
                <w:bCs/>
                <w:kern w:val="0"/>
                <w:lang w:val="en-US" w:bidi="ar-SA"/>
              </w:rPr>
              <w:t>MÖ3</w:t>
            </w:r>
          </w:p>
        </w:tc>
        <w:tc>
          <w:tcPr>
            <w:tcW w:w="368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kern w:val="0"/>
                <w:lang w:val="en-US" w:bidi="ar-SA"/>
              </w:rPr>
              <w:t>Derivator. Integraler.</w:t>
            </w:r>
          </w:p>
        </w:tc>
        <w:tc>
          <w:tcPr>
            <w:tcW w:w="52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it-IT"/>
              </w:rPr>
            </w:pPr>
            <w:r>
              <w:rPr>
                <w:rFonts w:eastAsia="Times New Roman" w:cs="Times New Roman"/>
                <w:kern w:val="0"/>
                <w:lang w:val="it-IT" w:bidi="ar-SA"/>
              </w:rPr>
              <w:t xml:space="preserve">6.1 b, f, 6.2 b-c, e, 6.3 a, c-d, 6.4 c, 6.5 a, c-d, </w:t>
            </w:r>
          </w:p>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it-IT"/>
              </w:rPr>
            </w:pPr>
            <w:r>
              <w:rPr>
                <w:rFonts w:eastAsia="Times New Roman" w:cs="Times New Roman"/>
                <w:kern w:val="0"/>
                <w:lang w:val="it-IT" w:bidi="ar-SA"/>
              </w:rPr>
              <w:t>6.9 a, c-d, 6.10a, 6.19 a-b, 7.1 a-d, 7.7 c-e, 7.4 a-b, 7.5 a, c, 7.8 a-b, 7.9 a, 7.16 b-c 7.17 a-b</w:t>
            </w:r>
          </w:p>
        </w:tc>
      </w:tr>
      <w:tr>
        <w:trPr/>
        <w:tc>
          <w:tcPr>
            <w:tcW w:w="749"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MÖ4</w:t>
            </w:r>
          </w:p>
        </w:tc>
        <w:tc>
          <w:tcPr>
            <w:tcW w:w="368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Integraler forts. Dubbelintegraler. </w:t>
            </w:r>
          </w:p>
        </w:tc>
        <w:tc>
          <w:tcPr>
            <w:tcW w:w="52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Matematikuppgifter (finns på Athena)</w:t>
            </w:r>
          </w:p>
        </w:tc>
      </w:tr>
      <w:tr>
        <w:trPr/>
        <w:tc>
          <w:tcPr>
            <w:tcW w:w="749"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MÖ5 </w:t>
            </w:r>
          </w:p>
        </w:tc>
        <w:tc>
          <w:tcPr>
            <w:tcW w:w="368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Repetition.</w:t>
            </w:r>
          </w:p>
        </w:tc>
        <w:tc>
          <w:tcPr>
            <w:tcW w:w="52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Extrauppgifter del I (finns på Athena)</w:t>
            </w:r>
          </w:p>
        </w:tc>
      </w:tr>
    </w:tbl>
    <w:p>
      <w:pPr>
        <w:pStyle w:val="Normal"/>
        <w:rPr/>
      </w:pPr>
      <w:r>
        <w:rPr/>
      </w:r>
    </w:p>
    <w:p>
      <w:pPr>
        <w:pStyle w:val="Normal"/>
        <w:rPr/>
      </w:pPr>
      <w:r>
        <w:rPr/>
      </w:r>
    </w:p>
    <w:p>
      <w:pPr>
        <w:pStyle w:val="Normal"/>
        <w:rPr/>
      </w:pPr>
      <w:r>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758"/>
        <w:gridCol w:w="3919"/>
        <w:gridCol w:w="4962"/>
      </w:tblGrid>
      <w:tr>
        <w:trPr>
          <w:cnfStyle w:val="100000000000" w:firstRow="1" w:lastRow="0" w:firstColumn="0" w:lastColumn="0" w:oddVBand="0" w:evenVBand="0" w:oddHBand="0" w:evenHBand="0" w:firstRowFirstColumn="0" w:firstRowLastColumn="0" w:lastRowFirstColumn="0" w:lastRowLastColumn="0"/>
        </w:trPr>
        <w:tc>
          <w:tcPr>
            <w:tcW w:w="9639" w:type="dxa"/>
            <w:gridSpan w:val="3"/>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Statistiska övningar</w:t>
            </w:r>
          </w:p>
        </w:tc>
      </w:tr>
      <w:tr>
        <w:trPr/>
        <w:tc>
          <w:tcPr>
            <w:tcW w:w="75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sz w:val="28"/>
                <w:szCs w:val="28"/>
              </w:rPr>
            </w:pPr>
            <w:r>
              <w:rPr>
                <w:rFonts w:eastAsia="Times New Roman" w:cs="Times New Roman"/>
                <w:b/>
                <w:bCs/>
                <w:kern w:val="0"/>
                <w:sz w:val="28"/>
                <w:szCs w:val="28"/>
                <w:lang w:val="sv-SE" w:bidi="ar-SA"/>
              </w:rPr>
            </w:r>
          </w:p>
        </w:tc>
        <w:tc>
          <w:tcPr>
            <w:tcW w:w="3919"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Innehåll</w:t>
            </w:r>
          </w:p>
        </w:tc>
        <w:tc>
          <w:tcPr>
            <w:tcW w:w="4962"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sz w:val="28"/>
                <w:szCs w:val="28"/>
              </w:rPr>
            </w:pPr>
            <w:r>
              <w:rPr>
                <w:rFonts w:eastAsia="Times New Roman" w:cs="Times New Roman"/>
                <w:kern w:val="0"/>
                <w:lang w:val="sv-SE" w:bidi="ar-SA"/>
              </w:rPr>
              <w:t xml:space="preserve">Uppgifter ur MS, övningar som är understrukna kommer att prioriteras för genomgång </w:t>
            </w:r>
          </w:p>
        </w:tc>
      </w:tr>
      <w:tr>
        <w:trPr/>
        <w:tc>
          <w:tcPr>
            <w:tcW w:w="75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SÖ1</w:t>
            </w:r>
          </w:p>
        </w:tc>
        <w:tc>
          <w:tcPr>
            <w:tcW w:w="3919"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Information, gruppindelning.</w:t>
            </w:r>
          </w:p>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Diskreta variabler. </w:t>
            </w:r>
          </w:p>
        </w:tc>
        <w:tc>
          <w:tcPr>
            <w:tcW w:w="4962"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3: </w:t>
            </w:r>
            <w:r>
              <w:rPr>
                <w:rFonts w:eastAsia="Times New Roman" w:cs="Times New Roman"/>
                <w:kern w:val="0"/>
                <w:u w:val="single"/>
                <w:lang w:val="sv-SE" w:bidi="ar-SA"/>
              </w:rPr>
              <w:t>1</w:t>
            </w:r>
            <w:r>
              <w:rPr>
                <w:rFonts w:eastAsia="Times New Roman" w:cs="Times New Roman"/>
                <w:kern w:val="0"/>
                <w:lang w:val="sv-SE" w:bidi="ar-SA"/>
              </w:rPr>
              <w:t xml:space="preserve">, </w:t>
            </w:r>
            <w:r>
              <w:rPr>
                <w:rFonts w:eastAsia="Times New Roman" w:cs="Times New Roman"/>
                <w:kern w:val="0"/>
                <w:u w:val="single"/>
                <w:lang w:val="sv-SE" w:bidi="ar-SA"/>
              </w:rPr>
              <w:t>3</w:t>
            </w:r>
            <w:r>
              <w:rPr>
                <w:rFonts w:eastAsia="Times New Roman" w:cs="Times New Roman"/>
                <w:kern w:val="0"/>
                <w:lang w:val="sv-SE" w:bidi="ar-SA"/>
              </w:rPr>
              <w:t xml:space="preserve">, </w:t>
            </w:r>
            <w:r>
              <w:rPr>
                <w:rFonts w:eastAsia="Times New Roman" w:cs="Times New Roman"/>
                <w:kern w:val="0"/>
                <w:u w:val="single"/>
                <w:lang w:val="sv-SE" w:bidi="ar-SA"/>
              </w:rPr>
              <w:t>5</w:t>
            </w:r>
            <w:r>
              <w:rPr>
                <w:rFonts w:eastAsia="Times New Roman" w:cs="Times New Roman"/>
                <w:kern w:val="0"/>
                <w:lang w:val="sv-SE" w:bidi="ar-SA"/>
              </w:rPr>
              <w:t xml:space="preserve">, 9, </w:t>
            </w:r>
            <w:r>
              <w:rPr>
                <w:rFonts w:eastAsia="Times New Roman" w:cs="Times New Roman"/>
                <w:kern w:val="0"/>
                <w:u w:val="single"/>
                <w:lang w:val="sv-SE" w:bidi="ar-SA"/>
              </w:rPr>
              <w:t>12</w:t>
            </w:r>
            <w:r>
              <w:rPr>
                <w:rFonts w:eastAsia="Times New Roman" w:cs="Times New Roman"/>
                <w:kern w:val="0"/>
                <w:lang w:val="sv-SE" w:bidi="ar-SA"/>
              </w:rPr>
              <w:t xml:space="preserve">, 14, </w:t>
            </w:r>
            <w:r>
              <w:rPr>
                <w:rFonts w:eastAsia="Times New Roman" w:cs="Times New Roman"/>
                <w:kern w:val="0"/>
                <w:u w:val="single"/>
                <w:lang w:val="sv-SE" w:bidi="ar-SA"/>
              </w:rPr>
              <w:t>15</w:t>
            </w:r>
            <w:r>
              <w:rPr>
                <w:rFonts w:eastAsia="Times New Roman" w:cs="Times New Roman"/>
                <w:kern w:val="0"/>
                <w:lang w:val="sv-SE" w:bidi="ar-SA"/>
              </w:rPr>
              <w:t xml:space="preserve">, </w:t>
            </w:r>
            <w:r>
              <w:rPr>
                <w:rFonts w:eastAsia="Times New Roman" w:cs="Times New Roman"/>
                <w:kern w:val="0"/>
                <w:u w:val="single"/>
                <w:lang w:val="sv-SE" w:bidi="ar-SA"/>
              </w:rPr>
              <w:t>19</w:t>
            </w:r>
            <w:r>
              <w:rPr>
                <w:rFonts w:eastAsia="Times New Roman" w:cs="Times New Roman"/>
                <w:kern w:val="0"/>
                <w:lang w:val="sv-SE" w:bidi="ar-SA"/>
              </w:rPr>
              <w:t>, 20, 33</w:t>
            </w:r>
          </w:p>
        </w:tc>
      </w:tr>
      <w:tr>
        <w:trPr/>
        <w:tc>
          <w:tcPr>
            <w:tcW w:w="75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SÖ2 </w:t>
            </w:r>
          </w:p>
        </w:tc>
        <w:tc>
          <w:tcPr>
            <w:tcW w:w="3919"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Diskreta sannolikhetsfördelningar.</w:t>
            </w:r>
          </w:p>
        </w:tc>
        <w:tc>
          <w:tcPr>
            <w:tcW w:w="4962"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3: 35-38, </w:t>
            </w:r>
            <w:r>
              <w:rPr>
                <w:rFonts w:eastAsia="Times New Roman" w:cs="Times New Roman"/>
                <w:kern w:val="0"/>
                <w:u w:val="single"/>
                <w:lang w:val="sv-SE" w:bidi="ar-SA"/>
              </w:rPr>
              <w:t>40</w:t>
            </w:r>
            <w:r>
              <w:rPr>
                <w:rFonts w:eastAsia="Times New Roman" w:cs="Times New Roman"/>
                <w:kern w:val="0"/>
                <w:lang w:val="sv-SE" w:bidi="ar-SA"/>
              </w:rPr>
              <w:t xml:space="preserve">, </w:t>
            </w:r>
            <w:r>
              <w:rPr>
                <w:rFonts w:eastAsia="Times New Roman" w:cs="Times New Roman"/>
                <w:kern w:val="0"/>
                <w:u w:val="single"/>
                <w:lang w:val="sv-SE" w:bidi="ar-SA"/>
              </w:rPr>
              <w:t>67</w:t>
            </w:r>
            <w:r>
              <w:rPr>
                <w:rFonts w:eastAsia="Times New Roman" w:cs="Times New Roman"/>
                <w:kern w:val="0"/>
                <w:lang w:val="sv-SE" w:bidi="ar-SA"/>
              </w:rPr>
              <w:t xml:space="preserve">, </w:t>
            </w:r>
            <w:r>
              <w:rPr>
                <w:rFonts w:eastAsia="Times New Roman" w:cs="Times New Roman"/>
                <w:kern w:val="0"/>
                <w:u w:val="single"/>
                <w:lang w:val="sv-SE" w:bidi="ar-SA"/>
              </w:rPr>
              <w:t>68</w:t>
            </w:r>
            <w:r>
              <w:rPr>
                <w:rFonts w:eastAsia="Times New Roman" w:cs="Times New Roman"/>
                <w:kern w:val="0"/>
                <w:lang w:val="sv-SE" w:bidi="ar-SA"/>
              </w:rPr>
              <w:t xml:space="preserve">, 69, </w:t>
            </w:r>
            <w:r>
              <w:rPr>
                <w:rFonts w:eastAsia="Times New Roman" w:cs="Times New Roman"/>
                <w:kern w:val="0"/>
                <w:u w:val="single"/>
                <w:lang w:val="sv-SE" w:bidi="ar-SA"/>
              </w:rPr>
              <w:t>70</w:t>
            </w:r>
            <w:r>
              <w:rPr>
                <w:rFonts w:eastAsia="Times New Roman" w:cs="Times New Roman"/>
                <w:kern w:val="0"/>
                <w:lang w:val="sv-SE" w:bidi="ar-SA"/>
              </w:rPr>
              <w:t xml:space="preserve">, 73, </w:t>
            </w:r>
            <w:r>
              <w:rPr>
                <w:rFonts w:eastAsia="Times New Roman" w:cs="Times New Roman"/>
                <w:kern w:val="0"/>
                <w:u w:val="single"/>
                <w:lang w:val="sv-SE" w:bidi="ar-SA"/>
              </w:rPr>
              <w:t>90</w:t>
            </w:r>
            <w:r>
              <w:rPr>
                <w:rFonts w:eastAsia="Times New Roman" w:cs="Times New Roman"/>
                <w:kern w:val="0"/>
                <w:lang w:val="sv-SE" w:bidi="ar-SA"/>
              </w:rPr>
              <w:t xml:space="preserve">, </w:t>
            </w:r>
            <w:r>
              <w:rPr>
                <w:rFonts w:eastAsia="Times New Roman" w:cs="Times New Roman"/>
                <w:kern w:val="0"/>
                <w:u w:val="single"/>
                <w:lang w:val="sv-SE" w:bidi="ar-SA"/>
              </w:rPr>
              <w:t>91</w:t>
            </w:r>
            <w:r>
              <w:rPr>
                <w:rFonts w:eastAsia="Times New Roman" w:cs="Times New Roman"/>
                <w:kern w:val="0"/>
                <w:lang w:val="sv-SE" w:bidi="ar-SA"/>
              </w:rPr>
              <w:t xml:space="preserve">, 92-95, 103, 104, </w:t>
            </w:r>
            <w:r>
              <w:rPr>
                <w:rFonts w:eastAsia="Times New Roman" w:cs="Times New Roman"/>
                <w:kern w:val="0"/>
                <w:u w:val="single"/>
                <w:lang w:val="sv-SE" w:bidi="ar-SA"/>
              </w:rPr>
              <w:t>105</w:t>
            </w:r>
            <w:r>
              <w:rPr>
                <w:rFonts w:eastAsia="Times New Roman" w:cs="Times New Roman"/>
                <w:kern w:val="0"/>
                <w:lang w:val="sv-SE" w:bidi="ar-SA"/>
              </w:rPr>
              <w:t xml:space="preserve">, 106, </w:t>
            </w:r>
            <w:r>
              <w:rPr>
                <w:rFonts w:eastAsia="Times New Roman" w:cs="Times New Roman"/>
                <w:kern w:val="0"/>
                <w:u w:val="single"/>
                <w:lang w:val="sv-SE" w:bidi="ar-SA"/>
              </w:rPr>
              <w:t>122</w:t>
            </w:r>
            <w:r>
              <w:rPr>
                <w:rFonts w:eastAsia="Times New Roman" w:cs="Times New Roman"/>
                <w:kern w:val="0"/>
                <w:lang w:val="sv-SE" w:bidi="ar-SA"/>
              </w:rPr>
              <w:t xml:space="preserve">, 124, </w:t>
            </w:r>
            <w:r>
              <w:rPr>
                <w:rFonts w:eastAsia="Times New Roman" w:cs="Times New Roman"/>
                <w:kern w:val="0"/>
                <w:u w:val="single"/>
                <w:lang w:val="sv-SE" w:bidi="ar-SA"/>
              </w:rPr>
              <w:t>126</w:t>
            </w:r>
            <w:r>
              <w:rPr>
                <w:rFonts w:eastAsia="Times New Roman" w:cs="Times New Roman"/>
                <w:kern w:val="0"/>
                <w:lang w:val="sv-SE" w:bidi="ar-SA"/>
              </w:rPr>
              <w:t>,127, 128</w:t>
            </w:r>
          </w:p>
        </w:tc>
      </w:tr>
      <w:tr>
        <w:trPr/>
        <w:tc>
          <w:tcPr>
            <w:tcW w:w="75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SÖ3 </w:t>
            </w:r>
          </w:p>
        </w:tc>
        <w:tc>
          <w:tcPr>
            <w:tcW w:w="3919"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kern w:val="0"/>
                <w:lang w:val="en-US" w:bidi="ar-SA"/>
              </w:rPr>
              <w:t xml:space="preserve">Kontinuerliga variabler. Kontinuerliga </w:t>
            </w:r>
            <w:r>
              <w:rPr>
                <w:rFonts w:eastAsia="Times New Roman" w:cs="Times New Roman"/>
                <w:kern w:val="0"/>
                <w:lang w:val="sv-SE" w:bidi="ar-SA"/>
              </w:rPr>
              <w:t>sannolikhetsfördelningar.</w:t>
            </w:r>
          </w:p>
        </w:tc>
        <w:tc>
          <w:tcPr>
            <w:tcW w:w="4962"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bidi="ar-SA"/>
              </w:rPr>
            </w:pPr>
            <w:r>
              <w:rPr>
                <w:rFonts w:eastAsia="Times New Roman" w:cs="Times New Roman"/>
                <w:kern w:val="0"/>
                <w:lang w:val="en-US" w:bidi="ar-SA"/>
              </w:rPr>
              <w:t xml:space="preserve">kap 4: 11, </w:t>
            </w:r>
            <w:r>
              <w:rPr>
                <w:rFonts w:eastAsia="Times New Roman" w:cs="Times New Roman"/>
                <w:kern w:val="0"/>
                <w:u w:val="single"/>
                <w:lang w:val="en-US" w:bidi="ar-SA"/>
              </w:rPr>
              <w:t>12</w:t>
            </w:r>
            <w:r>
              <w:rPr>
                <w:rFonts w:eastAsia="Times New Roman" w:cs="Times New Roman"/>
                <w:kern w:val="0"/>
                <w:lang w:val="en-US" w:bidi="ar-SA"/>
              </w:rPr>
              <w:t xml:space="preserve">, </w:t>
            </w:r>
            <w:r>
              <w:rPr>
                <w:rFonts w:eastAsia="Times New Roman" w:cs="Times New Roman"/>
                <w:kern w:val="0"/>
                <w:u w:val="single"/>
                <w:lang w:val="en-US" w:bidi="ar-SA"/>
              </w:rPr>
              <w:t>13</w:t>
            </w:r>
            <w:r>
              <w:rPr>
                <w:rFonts w:eastAsia="Times New Roman" w:cs="Times New Roman"/>
                <w:kern w:val="0"/>
                <w:lang w:val="en-US" w:bidi="ar-SA"/>
              </w:rPr>
              <w:t xml:space="preserve">, 14, 17, </w:t>
            </w:r>
            <w:r>
              <w:rPr>
                <w:rFonts w:eastAsia="Times New Roman" w:cs="Times New Roman"/>
                <w:kern w:val="0"/>
                <w:u w:val="single"/>
                <w:lang w:val="en-US" w:bidi="ar-SA"/>
              </w:rPr>
              <w:t>27</w:t>
            </w:r>
            <w:r>
              <w:rPr>
                <w:rFonts w:eastAsia="Times New Roman" w:cs="Times New Roman"/>
                <w:kern w:val="0"/>
                <w:lang w:val="en-US" w:bidi="ar-SA"/>
              </w:rPr>
              <w:t xml:space="preserve">, 28-31, 39, </w:t>
            </w:r>
            <w:r>
              <w:rPr>
                <w:rFonts w:eastAsia="Times New Roman" w:cs="Times New Roman"/>
                <w:kern w:val="0"/>
                <w:u w:val="single"/>
                <w:lang w:val="en-US" w:bidi="ar-SA"/>
              </w:rPr>
              <w:t>44</w:t>
            </w:r>
            <w:r>
              <w:rPr>
                <w:rFonts w:eastAsia="Times New Roman" w:cs="Times New Roman"/>
                <w:kern w:val="0"/>
                <w:lang w:val="en-US" w:bidi="ar-SA"/>
              </w:rPr>
              <w:t xml:space="preserve">, 45, 47, </w:t>
            </w:r>
            <w:r>
              <w:rPr>
                <w:rFonts w:eastAsia="Times New Roman" w:cs="Times New Roman"/>
                <w:kern w:val="0"/>
                <w:u w:val="single"/>
                <w:lang w:val="en-US" w:bidi="ar-SA"/>
              </w:rPr>
              <w:t>48</w:t>
            </w:r>
            <w:r>
              <w:rPr>
                <w:rFonts w:eastAsia="Times New Roman" w:cs="Times New Roman"/>
                <w:kern w:val="0"/>
                <w:lang w:val="en-US" w:bidi="ar-SA"/>
              </w:rPr>
              <w:t xml:space="preserve">, 63a, </w:t>
            </w:r>
            <w:r>
              <w:rPr>
                <w:rFonts w:eastAsia="Times New Roman" w:cs="Times New Roman"/>
                <w:kern w:val="0"/>
                <w:u w:val="single"/>
                <w:lang w:val="en-US" w:bidi="ar-SA"/>
              </w:rPr>
              <w:t>64a</w:t>
            </w:r>
            <w:r>
              <w:rPr>
                <w:rFonts w:eastAsia="Times New Roman" w:cs="Times New Roman"/>
                <w:kern w:val="0"/>
                <w:lang w:val="en-US" w:bidi="ar-SA"/>
              </w:rPr>
              <w:t xml:space="preserve">, </w:t>
            </w:r>
            <w:r>
              <w:rPr>
                <w:rFonts w:eastAsia="Times New Roman" w:cs="Times New Roman"/>
                <w:kern w:val="0"/>
                <w:u w:val="single"/>
                <w:lang w:val="en-US" w:bidi="ar-SA"/>
              </w:rPr>
              <w:t>65a</w:t>
            </w:r>
            <w:r>
              <w:rPr>
                <w:rFonts w:eastAsia="Times New Roman" w:cs="Times New Roman"/>
                <w:kern w:val="0"/>
                <w:lang w:val="en-US" w:bidi="ar-SA"/>
              </w:rPr>
              <w:t xml:space="preserve">, 66a, 71, 88, </w:t>
            </w:r>
            <w:r>
              <w:rPr>
                <w:rFonts w:eastAsia="Times New Roman" w:cs="Times New Roman"/>
                <w:kern w:val="0"/>
                <w:u w:val="single"/>
                <w:lang w:val="en-US" w:bidi="ar-SA"/>
              </w:rPr>
              <w:t>89</w:t>
            </w:r>
            <w:r>
              <w:rPr>
                <w:rFonts w:eastAsia="Times New Roman" w:cs="Times New Roman"/>
                <w:kern w:val="0"/>
                <w:lang w:val="en-US" w:bidi="ar-SA"/>
              </w:rPr>
              <w:t xml:space="preserve">, 93, </w:t>
            </w:r>
            <w:r>
              <w:rPr>
                <w:rFonts w:eastAsia="Times New Roman" w:cs="Times New Roman"/>
                <w:kern w:val="0"/>
                <w:u w:val="single"/>
                <w:lang w:val="en-US" w:bidi="ar-SA"/>
              </w:rPr>
              <w:t>106a</w:t>
            </w:r>
          </w:p>
        </w:tc>
      </w:tr>
      <w:tr>
        <w:trPr/>
        <w:tc>
          <w:tcPr>
            <w:tcW w:w="75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SÖ4</w:t>
            </w:r>
          </w:p>
        </w:tc>
        <w:tc>
          <w:tcPr>
            <w:tcW w:w="3919"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Funktioner av stokastiska variabler.</w:t>
            </w:r>
          </w:p>
        </w:tc>
        <w:tc>
          <w:tcPr>
            <w:tcW w:w="4962"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6: </w:t>
            </w:r>
            <w:r>
              <w:rPr>
                <w:rFonts w:eastAsia="Times New Roman" w:cs="Times New Roman"/>
                <w:kern w:val="0"/>
                <w:u w:val="single"/>
                <w:lang w:val="sv-SE" w:bidi="ar-SA"/>
              </w:rPr>
              <w:t>1</w:t>
            </w:r>
            <w:r>
              <w:rPr>
                <w:rFonts w:eastAsia="Times New Roman" w:cs="Times New Roman"/>
                <w:kern w:val="0"/>
                <w:lang w:val="sv-SE" w:bidi="ar-SA"/>
              </w:rPr>
              <w:t xml:space="preserve">, 2, 3, </w:t>
            </w:r>
            <w:r>
              <w:rPr>
                <w:rFonts w:eastAsia="Times New Roman" w:cs="Times New Roman"/>
                <w:kern w:val="0"/>
                <w:u w:val="single"/>
                <w:lang w:val="sv-SE" w:bidi="ar-SA"/>
              </w:rPr>
              <w:t>4</w:t>
            </w:r>
            <w:r>
              <w:rPr>
                <w:rFonts w:eastAsia="Times New Roman" w:cs="Times New Roman"/>
                <w:kern w:val="0"/>
                <w:lang w:val="sv-SE" w:bidi="ar-SA"/>
              </w:rPr>
              <w:t xml:space="preserve">, 7 , </w:t>
            </w:r>
            <w:r>
              <w:rPr>
                <w:rFonts w:eastAsia="Times New Roman" w:cs="Times New Roman"/>
                <w:kern w:val="0"/>
                <w:u w:val="single"/>
                <w:lang w:val="sv-SE" w:bidi="ar-SA"/>
              </w:rPr>
              <w:t>23</w:t>
            </w:r>
            <w:r>
              <w:rPr>
                <w:rFonts w:eastAsia="Times New Roman" w:cs="Times New Roman"/>
                <w:kern w:val="0"/>
                <w:lang w:val="sv-SE" w:bidi="ar-SA"/>
              </w:rPr>
              <w:t xml:space="preserve">, </w:t>
            </w:r>
            <w:r>
              <w:rPr>
                <w:rFonts w:eastAsia="Times New Roman" w:cs="Times New Roman"/>
                <w:kern w:val="0"/>
                <w:u w:val="single"/>
                <w:lang w:val="sv-SE" w:bidi="ar-SA"/>
              </w:rPr>
              <w:t>24</w:t>
            </w:r>
            <w:r>
              <w:rPr>
                <w:rFonts w:eastAsia="Times New Roman" w:cs="Times New Roman"/>
                <w:kern w:val="0"/>
                <w:lang w:val="sv-SE" w:bidi="ar-SA"/>
              </w:rPr>
              <w:t xml:space="preserve">, </w:t>
            </w:r>
            <w:r>
              <w:rPr>
                <w:rFonts w:eastAsia="Times New Roman" w:cs="Times New Roman"/>
                <w:kern w:val="0"/>
                <w:u w:val="single"/>
                <w:lang w:val="sv-SE" w:bidi="ar-SA"/>
              </w:rPr>
              <w:t>32</w:t>
            </w:r>
            <w:r>
              <w:rPr>
                <w:rFonts w:eastAsia="Times New Roman" w:cs="Times New Roman"/>
                <w:kern w:val="0"/>
                <w:lang w:val="sv-SE" w:bidi="ar-SA"/>
              </w:rPr>
              <w:t xml:space="preserve">, </w:t>
            </w:r>
            <w:r>
              <w:rPr>
                <w:rFonts w:eastAsia="Times New Roman" w:cs="Times New Roman"/>
                <w:kern w:val="0"/>
                <w:u w:val="single"/>
                <w:lang w:val="sv-SE" w:bidi="ar-SA"/>
              </w:rPr>
              <w:t>33</w:t>
            </w:r>
            <w:r>
              <w:rPr>
                <w:rFonts w:eastAsia="Times New Roman" w:cs="Times New Roman"/>
                <w:kern w:val="0"/>
                <w:lang w:val="sv-SE" w:bidi="ar-SA"/>
              </w:rPr>
              <w:t xml:space="preserve">, </w:t>
            </w:r>
            <w:r>
              <w:rPr>
                <w:rFonts w:eastAsia="Times New Roman" w:cs="Times New Roman"/>
                <w:kern w:val="0"/>
                <w:u w:val="single"/>
                <w:lang w:val="sv-SE" w:bidi="ar-SA"/>
              </w:rPr>
              <w:t>72</w:t>
            </w:r>
            <w:r>
              <w:rPr>
                <w:rFonts w:eastAsia="Times New Roman" w:cs="Times New Roman"/>
                <w:kern w:val="0"/>
                <w:lang w:val="sv-SE" w:bidi="ar-SA"/>
              </w:rPr>
              <w:t xml:space="preserve">, 73, </w:t>
            </w:r>
            <w:r>
              <w:rPr>
                <w:rFonts w:eastAsia="Times New Roman" w:cs="Times New Roman"/>
                <w:kern w:val="0"/>
                <w:u w:val="single"/>
                <w:lang w:val="sv-SE" w:bidi="ar-SA"/>
              </w:rPr>
              <w:t>87</w:t>
            </w:r>
            <w:r>
              <w:rPr>
                <w:rFonts w:eastAsia="Times New Roman" w:cs="Times New Roman"/>
                <w:kern w:val="0"/>
                <w:lang w:val="sv-SE" w:bidi="ar-SA"/>
              </w:rPr>
              <w:t>, 88</w:t>
            </w:r>
          </w:p>
        </w:tc>
      </w:tr>
      <w:tr>
        <w:trPr/>
        <w:tc>
          <w:tcPr>
            <w:tcW w:w="75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SÖ5 </w:t>
            </w:r>
          </w:p>
        </w:tc>
        <w:tc>
          <w:tcPr>
            <w:tcW w:w="3919"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Multivariata fördelningar. </w:t>
            </w:r>
          </w:p>
        </w:tc>
        <w:tc>
          <w:tcPr>
            <w:tcW w:w="4962"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kern w:val="0"/>
                <w:lang w:val="sv-SE" w:bidi="ar-SA"/>
              </w:rPr>
              <w:t xml:space="preserve">kap 5: </w:t>
            </w:r>
            <w:r>
              <w:rPr>
                <w:rFonts w:eastAsia="Times New Roman" w:cs="Times New Roman"/>
                <w:kern w:val="0"/>
                <w:u w:val="single"/>
                <w:lang w:val="sv-SE" w:bidi="ar-SA"/>
              </w:rPr>
              <w:t>1</w:t>
            </w:r>
            <w:r>
              <w:rPr>
                <w:rFonts w:eastAsia="Times New Roman" w:cs="Times New Roman"/>
                <w:kern w:val="0"/>
                <w:lang w:val="sv-SE" w:bidi="ar-SA"/>
              </w:rPr>
              <w:t xml:space="preserve">, 3, </w:t>
            </w:r>
            <w:r>
              <w:rPr>
                <w:rFonts w:eastAsia="Times New Roman" w:cs="Times New Roman"/>
                <w:kern w:val="0"/>
                <w:u w:val="single"/>
                <w:lang w:val="sv-SE" w:bidi="ar-SA"/>
              </w:rPr>
              <w:t>4</w:t>
            </w:r>
            <w:r>
              <w:rPr>
                <w:rFonts w:eastAsia="Times New Roman" w:cs="Times New Roman"/>
                <w:kern w:val="0"/>
                <w:lang w:val="sv-SE" w:bidi="ar-SA"/>
              </w:rPr>
              <w:t xml:space="preserve">, 5, </w:t>
            </w:r>
            <w:r>
              <w:rPr>
                <w:rFonts w:eastAsia="Times New Roman" w:cs="Times New Roman"/>
                <w:kern w:val="0"/>
                <w:u w:val="single"/>
                <w:lang w:val="sv-SE" w:bidi="ar-SA"/>
              </w:rPr>
              <w:t>8</w:t>
            </w:r>
            <w:r>
              <w:rPr>
                <w:rFonts w:eastAsia="Times New Roman" w:cs="Times New Roman"/>
                <w:kern w:val="0"/>
                <w:lang w:val="sv-SE" w:bidi="ar-SA"/>
              </w:rPr>
              <w:t xml:space="preserve">, </w:t>
            </w:r>
            <w:r>
              <w:rPr>
                <w:rFonts w:eastAsia="Times New Roman" w:cs="Times New Roman"/>
                <w:kern w:val="0"/>
                <w:u w:val="single"/>
                <w:lang w:val="sv-SE" w:bidi="ar-SA"/>
              </w:rPr>
              <w:t>15</w:t>
            </w:r>
            <w:r>
              <w:rPr>
                <w:rFonts w:eastAsia="Times New Roman" w:cs="Times New Roman"/>
                <w:kern w:val="0"/>
                <w:lang w:val="sv-SE" w:bidi="ar-SA"/>
              </w:rPr>
              <w:t xml:space="preserve">, 19, </w:t>
            </w:r>
            <w:r>
              <w:rPr>
                <w:rFonts w:eastAsia="Times New Roman" w:cs="Times New Roman"/>
                <w:kern w:val="0"/>
                <w:u w:val="single"/>
                <w:lang w:val="sv-SE" w:bidi="ar-SA"/>
              </w:rPr>
              <w:t>22</w:t>
            </w:r>
            <w:r>
              <w:rPr>
                <w:rFonts w:eastAsia="Times New Roman" w:cs="Times New Roman"/>
                <w:kern w:val="0"/>
                <w:lang w:val="sv-SE" w:bidi="ar-SA"/>
              </w:rPr>
              <w:t xml:space="preserve">, 23, 24, 26, </w:t>
            </w:r>
            <w:r>
              <w:rPr>
                <w:rFonts w:eastAsia="Times New Roman" w:cs="Times New Roman"/>
                <w:kern w:val="0"/>
                <w:u w:val="single"/>
                <w:lang w:val="sv-SE" w:bidi="ar-SA"/>
              </w:rPr>
              <w:t>33</w:t>
            </w:r>
            <w:r>
              <w:rPr>
                <w:rFonts w:eastAsia="Times New Roman" w:cs="Times New Roman"/>
                <w:kern w:val="0"/>
                <w:lang w:val="sv-SE" w:bidi="ar-SA"/>
              </w:rPr>
              <w:t xml:space="preserve">, 45, 48, </w:t>
            </w:r>
            <w:r>
              <w:rPr>
                <w:rFonts w:eastAsia="Times New Roman" w:cs="Times New Roman"/>
                <w:kern w:val="0"/>
                <w:u w:val="single"/>
                <w:lang w:val="sv-SE" w:bidi="ar-SA"/>
              </w:rPr>
              <w:t>49</w:t>
            </w:r>
            <w:r>
              <w:rPr>
                <w:rFonts w:eastAsia="Times New Roman" w:cs="Times New Roman"/>
                <w:kern w:val="0"/>
                <w:lang w:val="sv-SE" w:bidi="ar-SA"/>
              </w:rPr>
              <w:t xml:space="preserve">, </w:t>
            </w:r>
            <w:r>
              <w:rPr>
                <w:rFonts w:eastAsia="Times New Roman" w:cs="Times New Roman"/>
                <w:kern w:val="0"/>
                <w:u w:val="single"/>
                <w:lang w:val="sv-SE" w:bidi="ar-SA"/>
              </w:rPr>
              <w:t>59</w:t>
            </w:r>
          </w:p>
        </w:tc>
      </w:tr>
      <w:tr>
        <w:trPr/>
        <w:tc>
          <w:tcPr>
            <w:tcW w:w="75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SÖ6 </w:t>
            </w:r>
          </w:p>
        </w:tc>
        <w:tc>
          <w:tcPr>
            <w:tcW w:w="3919"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Multivariata fördelningar. Kovarians. </w:t>
            </w:r>
          </w:p>
        </w:tc>
        <w:tc>
          <w:tcPr>
            <w:tcW w:w="4962"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5: </w:t>
            </w:r>
            <w:r>
              <w:rPr>
                <w:rFonts w:eastAsia="Times New Roman" w:cs="Times New Roman"/>
                <w:kern w:val="0"/>
                <w:u w:val="single"/>
                <w:lang w:val="sv-SE" w:bidi="ar-SA"/>
              </w:rPr>
              <w:t>72</w:t>
            </w:r>
            <w:r>
              <w:rPr>
                <w:rFonts w:eastAsia="Times New Roman" w:cs="Times New Roman"/>
                <w:kern w:val="0"/>
                <w:lang w:val="sv-SE" w:bidi="ar-SA"/>
              </w:rPr>
              <w:t xml:space="preserve">, </w:t>
            </w:r>
            <w:r>
              <w:rPr>
                <w:rFonts w:eastAsia="Times New Roman" w:cs="Times New Roman"/>
                <w:kern w:val="0"/>
                <w:u w:val="single"/>
                <w:lang w:val="sv-SE" w:bidi="ar-SA"/>
              </w:rPr>
              <w:t>76,</w:t>
            </w:r>
            <w:r>
              <w:rPr>
                <w:rFonts w:eastAsia="Times New Roman" w:cs="Times New Roman"/>
                <w:kern w:val="0"/>
                <w:lang w:val="sv-SE" w:bidi="ar-SA"/>
              </w:rPr>
              <w:t xml:space="preserve"> </w:t>
            </w:r>
            <w:r>
              <w:rPr>
                <w:rFonts w:eastAsia="Times New Roman" w:cs="Times New Roman"/>
                <w:kern w:val="0"/>
                <w:u w:val="single"/>
                <w:lang w:val="sv-SE" w:bidi="ar-SA"/>
              </w:rPr>
              <w:t>89</w:t>
            </w:r>
            <w:r>
              <w:rPr>
                <w:rFonts w:eastAsia="Times New Roman" w:cs="Times New Roman"/>
                <w:kern w:val="0"/>
                <w:lang w:val="sv-SE" w:bidi="ar-SA"/>
              </w:rPr>
              <w:t xml:space="preserve">, </w:t>
            </w:r>
            <w:r>
              <w:rPr>
                <w:rFonts w:eastAsia="Times New Roman" w:cs="Times New Roman"/>
                <w:kern w:val="0"/>
                <w:u w:val="single"/>
                <w:lang w:val="sv-SE" w:bidi="ar-SA"/>
              </w:rPr>
              <w:t>91</w:t>
            </w:r>
            <w:r>
              <w:rPr>
                <w:rFonts w:eastAsia="Times New Roman" w:cs="Times New Roman"/>
                <w:kern w:val="0"/>
                <w:lang w:val="sv-SE" w:bidi="ar-SA"/>
              </w:rPr>
              <w:t xml:space="preserve">, 92, </w:t>
            </w:r>
            <w:r>
              <w:rPr>
                <w:rFonts w:eastAsia="Times New Roman" w:cs="Times New Roman"/>
                <w:kern w:val="0"/>
                <w:u w:val="single"/>
                <w:lang w:val="sv-SE" w:bidi="ar-SA"/>
              </w:rPr>
              <w:t>102</w:t>
            </w:r>
            <w:r>
              <w:rPr>
                <w:rFonts w:eastAsia="Times New Roman" w:cs="Times New Roman"/>
                <w:kern w:val="0"/>
                <w:lang w:val="sv-SE" w:bidi="ar-SA"/>
              </w:rPr>
              <w:t xml:space="preserve">, </w:t>
            </w:r>
            <w:r>
              <w:rPr>
                <w:rFonts w:eastAsia="Times New Roman" w:cs="Times New Roman"/>
                <w:kern w:val="0"/>
                <w:u w:val="single"/>
                <w:lang w:val="sv-SE" w:bidi="ar-SA"/>
              </w:rPr>
              <w:t>103</w:t>
            </w:r>
            <w:r>
              <w:rPr>
                <w:rFonts w:eastAsia="Times New Roman" w:cs="Times New Roman"/>
                <w:kern w:val="0"/>
                <w:lang w:val="sv-SE" w:bidi="ar-SA"/>
              </w:rPr>
              <w:t xml:space="preserve">, 108, </w:t>
            </w:r>
            <w:r>
              <w:rPr>
                <w:rFonts w:eastAsia="Times New Roman" w:cs="Times New Roman"/>
                <w:kern w:val="0"/>
                <w:u w:val="single"/>
                <w:lang w:val="sv-SE" w:bidi="ar-SA"/>
              </w:rPr>
              <w:t>122</w:t>
            </w:r>
            <w:r>
              <w:rPr>
                <w:rFonts w:eastAsia="Times New Roman" w:cs="Times New Roman"/>
                <w:kern w:val="0"/>
                <w:lang w:val="sv-SE" w:bidi="ar-SA"/>
              </w:rPr>
              <w:t xml:space="preserve">, 123, </w:t>
            </w:r>
            <w:r>
              <w:rPr>
                <w:rFonts w:eastAsia="Times New Roman" w:cs="Times New Roman"/>
                <w:kern w:val="0"/>
                <w:u w:val="single"/>
                <w:lang w:val="sv-SE" w:bidi="ar-SA"/>
              </w:rPr>
              <w:t>124</w:t>
            </w:r>
          </w:p>
        </w:tc>
      </w:tr>
    </w:tbl>
    <w:p>
      <w:pPr>
        <w:pStyle w:val="Normal"/>
        <w:rPr>
          <w:lang w:val="en-US"/>
        </w:rPr>
      </w:pPr>
      <w:r>
        <w:rPr>
          <w:lang w:val="en-US"/>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118"/>
        <w:gridCol w:w="8520"/>
      </w:tblGrid>
      <w:tr>
        <w:trPr>
          <w:cnfStyle w:val="100000000000" w:firstRow="1" w:lastRow="0" w:firstColumn="0" w:lastColumn="0" w:oddVBand="0" w:evenVBand="0" w:oddHBand="0" w:evenHBand="0" w:firstRowFirstColumn="0" w:firstRowLastColumn="0" w:lastRowFirstColumn="0" w:lastRowLastColumn="0"/>
        </w:trPr>
        <w:tc>
          <w:tcPr>
            <w:tcW w:w="9638"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Datorövningar</w:t>
            </w:r>
          </w:p>
        </w:tc>
      </w:tr>
      <w:tr>
        <w:trPr/>
        <w:tc>
          <w:tcPr>
            <w:tcW w:w="111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D1 Obl.</w:t>
            </w:r>
          </w:p>
        </w:tc>
        <w:tc>
          <w:tcPr>
            <w:tcW w:w="8520"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SAS repetition.</w:t>
            </w:r>
          </w:p>
        </w:tc>
      </w:tr>
      <w:tr>
        <w:trPr/>
        <w:tc>
          <w:tcPr>
            <w:tcW w:w="111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D2 Obl.</w:t>
            </w:r>
          </w:p>
        </w:tc>
        <w:tc>
          <w:tcPr>
            <w:tcW w:w="8520"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Databearbetning.</w:t>
            </w:r>
          </w:p>
        </w:tc>
      </w:tr>
      <w:tr>
        <w:trPr/>
        <w:tc>
          <w:tcPr>
            <w:tcW w:w="111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D3 Obl. </w:t>
            </w:r>
          </w:p>
        </w:tc>
        <w:tc>
          <w:tcPr>
            <w:tcW w:w="8520"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Simulering.</w:t>
            </w:r>
          </w:p>
        </w:tc>
      </w:tr>
      <w:tr>
        <w:trPr/>
        <w:tc>
          <w:tcPr>
            <w:tcW w:w="111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D4</w:t>
            </w:r>
          </w:p>
        </w:tc>
        <w:tc>
          <w:tcPr>
            <w:tcW w:w="8520"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Arbete med inlämningsuppgift 1, möjlighet att få hjälp med programmering.</w:t>
            </w:r>
          </w:p>
        </w:tc>
      </w:tr>
    </w:tbl>
    <w:p>
      <w:pPr>
        <w:pStyle w:val="Heading4"/>
        <w:numPr>
          <w:ilvl w:val="3"/>
          <w:numId w:val="1"/>
        </w:numPr>
        <w:rPr>
          <w:b w:val="false"/>
          <w:b w:val="false"/>
          <w:u w:val="single"/>
        </w:rPr>
      </w:pPr>
      <w:r>
        <w:rPr>
          <w:b w:val="false"/>
          <w:u w:val="single"/>
        </w:rPr>
      </w:r>
    </w:p>
    <w:p>
      <w:pPr>
        <w:pStyle w:val="Heading4"/>
        <w:numPr>
          <w:ilvl w:val="3"/>
          <w:numId w:val="1"/>
        </w:numPr>
        <w:rPr>
          <w:u w:val="single"/>
        </w:rPr>
      </w:pPr>
      <w:r>
        <w:rPr>
          <w:u w:val="single"/>
        </w:rPr>
        <w:t>Del II: Statistisk teori med tillämpningar II</w:t>
      </w:r>
    </w:p>
    <w:p>
      <w:pPr>
        <w:pStyle w:val="Normal"/>
        <w:rPr/>
      </w:pPr>
      <w:r>
        <w:rPr/>
        <w:t xml:space="preserve">Nedan ges ett preliminärt schema över innehåll respektive litteratur alt. övningsuppgifter vid varje undervisningstillfälle. Obs! </w:t>
      </w:r>
      <w:r>
        <w:rPr>
          <w:b/>
        </w:rPr>
        <w:t>MBV</w:t>
      </w:r>
      <w:r>
        <w:rPr/>
        <w:t xml:space="preserve"> syftar på boken </w:t>
      </w:r>
      <w:r>
        <w:rPr>
          <w:b/>
        </w:rPr>
        <w:t>Mot bättre vetande i matematik</w:t>
      </w:r>
      <w:r>
        <w:rPr/>
        <w:t xml:space="preserve">, </w:t>
      </w:r>
      <w:r>
        <w:rPr>
          <w:b/>
        </w:rPr>
        <w:t>MS</w:t>
      </w:r>
      <w:r>
        <w:rPr/>
        <w:t xml:space="preserve"> syftar på boken </w:t>
      </w:r>
      <w:r>
        <w:rPr>
          <w:b/>
        </w:rPr>
        <w:t>Mathematical Statistics with Applications</w:t>
      </w:r>
      <w:r>
        <w:rPr/>
        <w:t xml:space="preserve"> och </w:t>
      </w:r>
      <w:r>
        <w:rPr>
          <w:b/>
        </w:rPr>
        <w:t>HT</w:t>
      </w:r>
      <w:r>
        <w:rPr/>
        <w:t xml:space="preserve"> syftar på </w:t>
      </w:r>
      <w:r>
        <w:rPr>
          <w:b/>
        </w:rPr>
        <w:t>Hypothesis Testing</w:t>
      </w:r>
      <w:r>
        <w:rPr/>
        <w:t xml:space="preserve"> (finns att ladda ner på Athena). </w:t>
      </w:r>
    </w:p>
    <w:p>
      <w:pPr>
        <w:pStyle w:val="Normal"/>
        <w:rPr>
          <w:b/>
          <w:b/>
        </w:rPr>
      </w:pPr>
      <w:r>
        <w:rPr>
          <w:b/>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603"/>
        <w:gridCol w:w="5705"/>
        <w:gridCol w:w="3331"/>
      </w:tblGrid>
      <w:tr>
        <w:trPr>
          <w:cnfStyle w:val="100000000000" w:firstRow="1" w:lastRow="0" w:firstColumn="0" w:lastColumn="0" w:oddVBand="0" w:evenVBand="0" w:oddHBand="0" w:evenHBand="0" w:firstRowFirstColumn="0" w:firstRowLastColumn="0" w:lastRowFirstColumn="0" w:lastRowLastColumn="0"/>
        </w:trPr>
        <w:tc>
          <w:tcPr>
            <w:tcW w:w="9639" w:type="dxa"/>
            <w:gridSpan w:val="3"/>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Föreläsningar</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Innehåll</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Förberedelse</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F1</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Samplingfördelningar. Centrala gränsvärdessatsen.</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7</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F2</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Estimation i allmänhet. Punktskattningar.  </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8.1-8.6</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F3 </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Konfidensintervall.</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8.7-8.10</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F4</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Egenskaper hos skattningar: e</w:t>
            </w:r>
            <w:r>
              <w:rPr>
                <w:rFonts w:eastAsia="Times New Roman" w:cs="Times New Roman"/>
                <w:kern w:val="0"/>
                <w:sz w:val="22"/>
                <w:szCs w:val="22"/>
                <w:lang w:val="sv-SE" w:bidi="ar-SA"/>
              </w:rPr>
              <w:t>ffektivitet, konsistens och tillräcklighet.</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9.1-9.5</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F5</w:t>
            </w:r>
          </w:p>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Optimering</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Extramaterial ”Optimering” (finns på Athena)</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F6</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Generella skattningsmetoder: maximumlikelihood-metoden (ML) och momentmetoden.</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9.6-9.7</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F7 </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Hypotesprövning i allmänhet. Hypotesprövning med p-värde. Samband mellan hypotesprövning och konfidensintervall. </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10.1-10.6</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F8</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Hypotesprövning i några standardfall. Styrka. Neyman-Pearsons lemma.</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10.7-10.8 10.10, HT 1.1-1.3</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F9 </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Hypotesprövning forts. Likelihoodkvot-test. </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Läs: MS kap 10.11, HT 1.4, </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F10</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Icke-parametriska metoder</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MS kap. 15.1-15.6</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F11</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Icke-parametriska metoder, forts.</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Läs: MS kap. 15.9-15.11</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F12</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Bayesiansk inferens</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Extramaterial ”Bayesian Approach”, (finns på Athena)</w:t>
            </w:r>
          </w:p>
        </w:tc>
      </w:tr>
      <w:tr>
        <w:trPr/>
        <w:tc>
          <w:tcPr>
            <w:tcW w:w="60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F13</w:t>
            </w:r>
          </w:p>
        </w:tc>
        <w:tc>
          <w:tcPr>
            <w:tcW w:w="5705"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Genomgång av gamla tentamen.</w:t>
            </w:r>
          </w:p>
        </w:tc>
        <w:tc>
          <w:tcPr>
            <w:tcW w:w="3331"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r>
          </w:p>
        </w:tc>
      </w:tr>
    </w:tbl>
    <w:p>
      <w:pPr>
        <w:pStyle w:val="Normal"/>
        <w:rPr/>
      </w:pPr>
      <w:r>
        <w:rPr/>
      </w:r>
    </w:p>
    <w:p>
      <w:pPr>
        <w:pStyle w:val="Normal"/>
        <w:rPr/>
      </w:pPr>
      <w:r>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684"/>
        <w:gridCol w:w="3852"/>
        <w:gridCol w:w="5103"/>
      </w:tblGrid>
      <w:tr>
        <w:trPr>
          <w:cnfStyle w:val="100000000000" w:firstRow="1" w:lastRow="0" w:firstColumn="0" w:lastColumn="0" w:oddVBand="0" w:evenVBand="0" w:oddHBand="0" w:evenHBand="0" w:firstRowFirstColumn="0" w:firstRowLastColumn="0" w:lastRowFirstColumn="0" w:lastRowLastColumn="0"/>
        </w:trPr>
        <w:tc>
          <w:tcPr>
            <w:tcW w:w="9639" w:type="dxa"/>
            <w:gridSpan w:val="3"/>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uppressAutoHyphens w:val="false"/>
              <w:spacing w:before="0" w:after="0"/>
              <w:jc w:val="left"/>
              <w:rPr>
                <w:lang w:eastAsia="sv-SE"/>
              </w:rPr>
            </w:pPr>
            <w:r>
              <w:rPr>
                <w:rFonts w:eastAsia="Times New Roman" w:cs="Times New Roman"/>
                <w:b/>
                <w:bCs/>
                <w:kern w:val="0"/>
                <w:lang w:val="sv-SE" w:bidi="ar-SA"/>
              </w:rPr>
              <w:t xml:space="preserve">Övningar </w:t>
            </w:r>
          </w:p>
        </w:tc>
      </w:tr>
      <w:tr>
        <w:trPr/>
        <w:tc>
          <w:tcPr>
            <w:tcW w:w="68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r>
          </w:p>
        </w:tc>
        <w:tc>
          <w:tcPr>
            <w:tcW w:w="3852"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Innehåll</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Uppgifter</w:t>
            </w:r>
          </w:p>
        </w:tc>
      </w:tr>
      <w:tr>
        <w:trPr/>
        <w:tc>
          <w:tcPr>
            <w:tcW w:w="68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Ö1</w:t>
            </w:r>
          </w:p>
        </w:tc>
        <w:tc>
          <w:tcPr>
            <w:tcW w:w="3852"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kern w:val="0"/>
                <w:lang w:val="en-US" w:bidi="ar-SA"/>
              </w:rPr>
              <w:t>Maximum Likelihood</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Extrauppgifter ML (finns på Athena)</w:t>
            </w:r>
          </w:p>
        </w:tc>
      </w:tr>
      <w:tr>
        <w:trPr/>
        <w:tc>
          <w:tcPr>
            <w:tcW w:w="684"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lang w:val="en-US"/>
              </w:rPr>
            </w:pPr>
            <w:r>
              <w:rPr>
                <w:rFonts w:eastAsia="Times New Roman" w:cs="Times New Roman"/>
                <w:b/>
                <w:bCs/>
                <w:kern w:val="0"/>
                <w:lang w:val="en-US" w:bidi="ar-SA"/>
              </w:rPr>
              <w:t>Ö2</w:t>
            </w:r>
          </w:p>
        </w:tc>
        <w:tc>
          <w:tcPr>
            <w:tcW w:w="3852"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Times New Roman" w:cs="Times New Roman"/>
                <w:kern w:val="0"/>
                <w:lang w:val="en-US" w:bidi="ar-SA"/>
              </w:rPr>
              <w:t>Neyman-Pearsons lemma. Likelihoodkvot-test.</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Extrauppgifter NP-LRT (finns på Athena)</w:t>
            </w:r>
          </w:p>
        </w:tc>
      </w:tr>
    </w:tbl>
    <w:p>
      <w:pPr>
        <w:pStyle w:val="Normal"/>
        <w:rPr/>
      </w:pPr>
      <w:r>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688"/>
        <w:gridCol w:w="3848"/>
        <w:gridCol w:w="5103"/>
      </w:tblGrid>
      <w:tr>
        <w:trPr>
          <w:cnfStyle w:val="100000000000" w:firstRow="1" w:lastRow="0" w:firstColumn="0" w:lastColumn="0" w:oddVBand="0" w:evenVBand="0" w:oddHBand="0" w:evenHBand="0" w:firstRowFirstColumn="0" w:firstRowLastColumn="0" w:lastRowFirstColumn="0" w:lastRowLastColumn="0"/>
        </w:trPr>
        <w:tc>
          <w:tcPr>
            <w:tcW w:w="9639" w:type="dxa"/>
            <w:gridSpan w:val="3"/>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Statistiska övningar</w:t>
            </w:r>
          </w:p>
        </w:tc>
      </w:tr>
      <w:tr>
        <w:trPr/>
        <w:tc>
          <w:tcPr>
            <w:tcW w:w="68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sz w:val="28"/>
                <w:szCs w:val="28"/>
              </w:rPr>
            </w:pPr>
            <w:r>
              <w:rPr>
                <w:rFonts w:eastAsia="Times New Roman" w:cs="Times New Roman"/>
                <w:b/>
                <w:bCs/>
                <w:kern w:val="0"/>
                <w:sz w:val="28"/>
                <w:szCs w:val="28"/>
                <w:lang w:val="sv-SE" w:bidi="ar-SA"/>
              </w:rPr>
            </w:r>
          </w:p>
        </w:tc>
        <w:tc>
          <w:tcPr>
            <w:tcW w:w="3848"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Innehåll</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sz w:val="28"/>
                <w:szCs w:val="28"/>
              </w:rPr>
            </w:pPr>
            <w:r>
              <w:rPr>
                <w:rFonts w:eastAsia="Times New Roman" w:cs="Times New Roman"/>
                <w:kern w:val="0"/>
                <w:lang w:val="sv-SE" w:bidi="ar-SA"/>
              </w:rPr>
              <w:t>Uppgifter ur MS eller HT, övningar som är understrukna kommer att prioriteras för genomgång</w:t>
            </w:r>
          </w:p>
        </w:tc>
      </w:tr>
      <w:tr>
        <w:trPr/>
        <w:tc>
          <w:tcPr>
            <w:tcW w:w="68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SÖ1</w:t>
            </w:r>
          </w:p>
        </w:tc>
        <w:tc>
          <w:tcPr>
            <w:tcW w:w="3848"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Gruppindelning.</w:t>
            </w:r>
          </w:p>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Samplingfördelningar. Estimation.</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7: </w:t>
            </w:r>
            <w:r>
              <w:rPr>
                <w:rFonts w:eastAsia="Times New Roman" w:cs="Times New Roman"/>
                <w:kern w:val="0"/>
                <w:u w:val="single"/>
                <w:lang w:val="sv-SE" w:bidi="ar-SA"/>
              </w:rPr>
              <w:t>19</w:t>
            </w:r>
            <w:r>
              <w:rPr>
                <w:rFonts w:eastAsia="Times New Roman" w:cs="Times New Roman"/>
                <w:kern w:val="0"/>
                <w:lang w:val="sv-SE" w:bidi="ar-SA"/>
              </w:rPr>
              <w:t xml:space="preserve">, 21, </w:t>
            </w:r>
            <w:r>
              <w:rPr>
                <w:rFonts w:eastAsia="Times New Roman" w:cs="Times New Roman"/>
                <w:kern w:val="0"/>
                <w:u w:val="single"/>
                <w:lang w:val="sv-SE" w:bidi="ar-SA"/>
              </w:rPr>
              <w:t>46</w:t>
            </w:r>
            <w:r>
              <w:rPr>
                <w:rFonts w:eastAsia="Times New Roman" w:cs="Times New Roman"/>
                <w:kern w:val="0"/>
                <w:lang w:val="sv-SE" w:bidi="ar-SA"/>
              </w:rPr>
              <w:t xml:space="preserve">, </w:t>
            </w:r>
            <w:r>
              <w:rPr>
                <w:rFonts w:eastAsia="Times New Roman" w:cs="Times New Roman"/>
                <w:kern w:val="0"/>
                <w:u w:val="single"/>
                <w:lang w:val="sv-SE" w:bidi="ar-SA"/>
              </w:rPr>
              <w:t>47</w:t>
            </w:r>
            <w:r>
              <w:rPr>
                <w:rFonts w:eastAsia="Times New Roman" w:cs="Times New Roman"/>
                <w:kern w:val="0"/>
                <w:lang w:val="sv-SE" w:bidi="ar-SA"/>
              </w:rPr>
              <w:t xml:space="preserve">, 62 och </w:t>
            </w:r>
          </w:p>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8: </w:t>
            </w:r>
            <w:r>
              <w:rPr>
                <w:rFonts w:eastAsia="Times New Roman" w:cs="Times New Roman"/>
                <w:kern w:val="0"/>
                <w:u w:val="single"/>
                <w:lang w:val="sv-SE" w:bidi="ar-SA"/>
              </w:rPr>
              <w:t>8</w:t>
            </w:r>
            <w:r>
              <w:rPr>
                <w:rFonts w:eastAsia="Times New Roman" w:cs="Times New Roman"/>
                <w:kern w:val="0"/>
                <w:lang w:val="sv-SE" w:bidi="ar-SA"/>
              </w:rPr>
              <w:t xml:space="preserve">, </w:t>
            </w:r>
            <w:r>
              <w:rPr>
                <w:rFonts w:eastAsia="Times New Roman" w:cs="Times New Roman"/>
                <w:kern w:val="0"/>
                <w:u w:val="single"/>
                <w:lang w:val="sv-SE" w:bidi="ar-SA"/>
              </w:rPr>
              <w:t>50</w:t>
            </w:r>
            <w:r>
              <w:rPr>
                <w:rFonts w:eastAsia="Times New Roman" w:cs="Times New Roman"/>
                <w:kern w:val="0"/>
                <w:lang w:val="sv-SE" w:bidi="ar-SA"/>
              </w:rPr>
              <w:t xml:space="preserve">, 59, </w:t>
            </w:r>
            <w:r>
              <w:rPr>
                <w:rFonts w:eastAsia="Times New Roman" w:cs="Times New Roman"/>
                <w:kern w:val="0"/>
                <w:u w:val="single"/>
                <w:lang w:val="sv-SE" w:bidi="ar-SA"/>
              </w:rPr>
              <w:t>62</w:t>
            </w:r>
          </w:p>
        </w:tc>
      </w:tr>
      <w:tr>
        <w:trPr/>
        <w:tc>
          <w:tcPr>
            <w:tcW w:w="68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SÖ2</w:t>
            </w:r>
          </w:p>
        </w:tc>
        <w:tc>
          <w:tcPr>
            <w:tcW w:w="3848"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Konfidensintervall.</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8: 70, 71, </w:t>
            </w:r>
            <w:r>
              <w:rPr>
                <w:rFonts w:eastAsia="Times New Roman" w:cs="Times New Roman"/>
                <w:kern w:val="0"/>
                <w:u w:val="single"/>
                <w:lang w:val="sv-SE" w:bidi="ar-SA"/>
              </w:rPr>
              <w:t>74</w:t>
            </w:r>
            <w:r>
              <w:rPr>
                <w:rFonts w:eastAsia="Times New Roman" w:cs="Times New Roman"/>
                <w:kern w:val="0"/>
                <w:lang w:val="sv-SE" w:bidi="ar-SA"/>
              </w:rPr>
              <w:t xml:space="preserve">, </w:t>
            </w:r>
            <w:r>
              <w:rPr>
                <w:rFonts w:eastAsia="Times New Roman" w:cs="Times New Roman"/>
                <w:kern w:val="0"/>
                <w:u w:val="single"/>
                <w:lang w:val="sv-SE" w:bidi="ar-SA"/>
              </w:rPr>
              <w:t>75</w:t>
            </w:r>
            <w:r>
              <w:rPr>
                <w:rFonts w:eastAsia="Times New Roman" w:cs="Times New Roman"/>
                <w:kern w:val="0"/>
                <w:lang w:val="sv-SE" w:bidi="ar-SA"/>
              </w:rPr>
              <w:t xml:space="preserve">, </w:t>
            </w:r>
            <w:r>
              <w:rPr>
                <w:rFonts w:eastAsia="Times New Roman" w:cs="Times New Roman"/>
                <w:kern w:val="0"/>
                <w:u w:val="single"/>
                <w:lang w:val="sv-SE" w:bidi="ar-SA"/>
              </w:rPr>
              <w:t>83</w:t>
            </w:r>
            <w:r>
              <w:rPr>
                <w:rFonts w:eastAsia="Times New Roman" w:cs="Times New Roman"/>
                <w:kern w:val="0"/>
                <w:lang w:val="sv-SE" w:bidi="ar-SA"/>
              </w:rPr>
              <w:t xml:space="preserve">, 86, </w:t>
            </w:r>
            <w:r>
              <w:rPr>
                <w:rFonts w:eastAsia="Times New Roman" w:cs="Times New Roman"/>
                <w:kern w:val="0"/>
                <w:u w:val="single"/>
                <w:lang w:val="sv-SE" w:bidi="ar-SA"/>
              </w:rPr>
              <w:t>87</w:t>
            </w:r>
            <w:r>
              <w:rPr>
                <w:rFonts w:eastAsia="Times New Roman" w:cs="Times New Roman"/>
                <w:kern w:val="0"/>
                <w:lang w:val="sv-SE" w:bidi="ar-SA"/>
              </w:rPr>
              <w:t xml:space="preserve">, </w:t>
            </w:r>
            <w:r>
              <w:rPr>
                <w:rFonts w:eastAsia="Times New Roman" w:cs="Times New Roman"/>
                <w:kern w:val="0"/>
                <w:u w:val="single"/>
                <w:lang w:val="sv-SE" w:bidi="ar-SA"/>
              </w:rPr>
              <w:t>95</w:t>
            </w:r>
            <w:r>
              <w:rPr>
                <w:rFonts w:eastAsia="Times New Roman" w:cs="Times New Roman"/>
                <w:kern w:val="0"/>
                <w:lang w:val="sv-SE" w:bidi="ar-SA"/>
              </w:rPr>
              <w:t xml:space="preserve">, </w:t>
            </w:r>
            <w:r>
              <w:rPr>
                <w:rFonts w:eastAsia="Times New Roman" w:cs="Times New Roman"/>
                <w:kern w:val="0"/>
                <w:u w:val="single"/>
                <w:lang w:val="sv-SE" w:bidi="ar-SA"/>
              </w:rPr>
              <w:t>100</w:t>
            </w:r>
            <w:r>
              <w:rPr>
                <w:rFonts w:eastAsia="Times New Roman" w:cs="Times New Roman"/>
                <w:kern w:val="0"/>
                <w:lang w:val="sv-SE" w:bidi="ar-SA"/>
              </w:rPr>
              <w:t xml:space="preserve">, 103, </w:t>
            </w:r>
            <w:r>
              <w:rPr>
                <w:rFonts w:eastAsia="Times New Roman" w:cs="Times New Roman"/>
                <w:kern w:val="0"/>
                <w:u w:val="single"/>
                <w:lang w:val="sv-SE" w:bidi="ar-SA"/>
              </w:rPr>
              <w:t>104</w:t>
            </w:r>
            <w:r>
              <w:rPr>
                <w:rFonts w:eastAsia="Times New Roman" w:cs="Times New Roman"/>
                <w:kern w:val="0"/>
                <w:lang w:val="sv-SE" w:bidi="ar-SA"/>
              </w:rPr>
              <w:t xml:space="preserve">, </w:t>
            </w:r>
            <w:r>
              <w:rPr>
                <w:rFonts w:eastAsia="Times New Roman" w:cs="Times New Roman"/>
                <w:kern w:val="0"/>
                <w:u w:val="single"/>
                <w:lang w:val="sv-SE" w:bidi="ar-SA"/>
              </w:rPr>
              <w:t>105,</w:t>
            </w:r>
            <w:r>
              <w:rPr>
                <w:rFonts w:eastAsia="Times New Roman" w:cs="Times New Roman"/>
                <w:kern w:val="0"/>
                <w:lang w:val="sv-SE" w:bidi="ar-SA"/>
              </w:rPr>
              <w:t xml:space="preserve"> </w:t>
            </w:r>
            <w:r>
              <w:rPr>
                <w:rFonts w:eastAsia="Times New Roman" w:cs="Times New Roman"/>
                <w:kern w:val="0"/>
                <w:u w:val="single"/>
                <w:lang w:val="sv-SE" w:bidi="ar-SA"/>
              </w:rPr>
              <w:t>111</w:t>
            </w:r>
          </w:p>
        </w:tc>
      </w:tr>
      <w:tr>
        <w:trPr/>
        <w:tc>
          <w:tcPr>
            <w:tcW w:w="68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 xml:space="preserve">SÖ3 </w:t>
            </w:r>
          </w:p>
        </w:tc>
        <w:tc>
          <w:tcPr>
            <w:tcW w:w="3848"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Effektivitet. Konsistens. Moment-skattningar.</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9: </w:t>
            </w:r>
            <w:r>
              <w:rPr>
                <w:rFonts w:eastAsia="Times New Roman" w:cs="Times New Roman"/>
                <w:kern w:val="0"/>
                <w:u w:val="single"/>
                <w:lang w:val="sv-SE" w:bidi="ar-SA"/>
              </w:rPr>
              <w:t>1</w:t>
            </w:r>
            <w:r>
              <w:rPr>
                <w:rFonts w:eastAsia="Times New Roman" w:cs="Times New Roman"/>
                <w:kern w:val="0"/>
                <w:lang w:val="sv-SE" w:bidi="ar-SA"/>
              </w:rPr>
              <w:t xml:space="preserve">, 5, </w:t>
            </w:r>
            <w:r>
              <w:rPr>
                <w:rFonts w:eastAsia="Times New Roman" w:cs="Times New Roman"/>
                <w:kern w:val="0"/>
                <w:u w:val="single"/>
                <w:lang w:val="sv-SE" w:bidi="ar-SA"/>
              </w:rPr>
              <w:t>6</w:t>
            </w:r>
            <w:r>
              <w:rPr>
                <w:rFonts w:eastAsia="Times New Roman" w:cs="Times New Roman"/>
                <w:kern w:val="0"/>
                <w:lang w:val="sv-SE" w:bidi="ar-SA"/>
              </w:rPr>
              <w:t xml:space="preserve">, </w:t>
            </w:r>
            <w:r>
              <w:rPr>
                <w:rFonts w:eastAsia="Times New Roman" w:cs="Times New Roman"/>
                <w:kern w:val="0"/>
                <w:u w:val="single"/>
                <w:lang w:val="sv-SE" w:bidi="ar-SA"/>
              </w:rPr>
              <w:t>7</w:t>
            </w:r>
            <w:r>
              <w:rPr>
                <w:rFonts w:eastAsia="Times New Roman" w:cs="Times New Roman"/>
                <w:kern w:val="0"/>
                <w:lang w:val="sv-SE" w:bidi="ar-SA"/>
              </w:rPr>
              <w:t xml:space="preserve">, </w:t>
            </w:r>
            <w:r>
              <w:rPr>
                <w:rFonts w:eastAsia="Times New Roman" w:cs="Times New Roman"/>
                <w:kern w:val="0"/>
                <w:u w:val="single"/>
                <w:lang w:val="sv-SE" w:bidi="ar-SA"/>
              </w:rPr>
              <w:t>25</w:t>
            </w:r>
            <w:r>
              <w:rPr>
                <w:rFonts w:eastAsia="Times New Roman" w:cs="Times New Roman"/>
                <w:kern w:val="0"/>
                <w:lang w:val="sv-SE" w:bidi="ar-SA"/>
              </w:rPr>
              <w:t xml:space="preserve">, 37, </w:t>
            </w:r>
            <w:r>
              <w:rPr>
                <w:rFonts w:eastAsia="Times New Roman" w:cs="Times New Roman"/>
                <w:kern w:val="0"/>
                <w:u w:val="single"/>
                <w:lang w:val="sv-SE" w:bidi="ar-SA"/>
              </w:rPr>
              <w:t>70</w:t>
            </w:r>
            <w:r>
              <w:rPr>
                <w:rFonts w:eastAsia="Times New Roman" w:cs="Times New Roman"/>
                <w:kern w:val="0"/>
                <w:lang w:val="sv-SE" w:bidi="ar-SA"/>
              </w:rPr>
              <w:t xml:space="preserve">, </w:t>
            </w:r>
            <w:r>
              <w:rPr>
                <w:rFonts w:eastAsia="Times New Roman" w:cs="Times New Roman"/>
                <w:kern w:val="0"/>
                <w:u w:val="single"/>
                <w:lang w:val="sv-SE" w:bidi="ar-SA"/>
              </w:rPr>
              <w:t>71</w:t>
            </w:r>
            <w:r>
              <w:rPr>
                <w:rFonts w:eastAsia="Times New Roman" w:cs="Times New Roman"/>
                <w:kern w:val="0"/>
                <w:lang w:val="sv-SE" w:bidi="ar-SA"/>
              </w:rPr>
              <w:t xml:space="preserve">, </w:t>
            </w:r>
            <w:r>
              <w:rPr>
                <w:rFonts w:eastAsia="Times New Roman" w:cs="Times New Roman"/>
                <w:kern w:val="0"/>
                <w:u w:val="single"/>
                <w:lang w:val="sv-SE" w:bidi="ar-SA"/>
              </w:rPr>
              <w:t>77</w:t>
            </w:r>
          </w:p>
        </w:tc>
      </w:tr>
      <w:tr>
        <w:trPr/>
        <w:tc>
          <w:tcPr>
            <w:tcW w:w="68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SÖ4</w:t>
            </w:r>
          </w:p>
        </w:tc>
        <w:tc>
          <w:tcPr>
            <w:tcW w:w="3848"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bidi="ar-SA"/>
              </w:rPr>
            </w:pPr>
            <w:r>
              <w:rPr>
                <w:rFonts w:eastAsia="Times New Roman" w:cs="Times New Roman"/>
                <w:kern w:val="0"/>
                <w:lang w:val="en-US" w:bidi="ar-SA"/>
              </w:rPr>
              <w:t>Maximum Likelihood-skattningar.</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9: </w:t>
            </w:r>
            <w:r>
              <w:rPr>
                <w:rFonts w:eastAsia="Times New Roman" w:cs="Times New Roman"/>
                <w:kern w:val="0"/>
                <w:u w:val="single"/>
                <w:lang w:val="sv-SE" w:bidi="ar-SA"/>
              </w:rPr>
              <w:t>80</w:t>
            </w:r>
            <w:r>
              <w:rPr>
                <w:rFonts w:eastAsia="Times New Roman" w:cs="Times New Roman"/>
                <w:kern w:val="0"/>
                <w:lang w:val="sv-SE" w:bidi="ar-SA"/>
              </w:rPr>
              <w:t xml:space="preserve">, </w:t>
            </w:r>
            <w:r>
              <w:rPr>
                <w:rFonts w:eastAsia="Times New Roman" w:cs="Times New Roman"/>
                <w:kern w:val="0"/>
                <w:u w:val="single"/>
                <w:lang w:val="sv-SE" w:bidi="ar-SA"/>
              </w:rPr>
              <w:t>84</w:t>
            </w:r>
            <w:r>
              <w:rPr>
                <w:rFonts w:eastAsia="Times New Roman" w:cs="Times New Roman"/>
                <w:kern w:val="0"/>
                <w:lang w:val="sv-SE" w:bidi="ar-SA"/>
              </w:rPr>
              <w:t xml:space="preserve">, </w:t>
            </w:r>
            <w:r>
              <w:rPr>
                <w:rFonts w:eastAsia="Times New Roman" w:cs="Times New Roman"/>
                <w:kern w:val="0"/>
                <w:u w:val="single"/>
                <w:lang w:val="sv-SE" w:bidi="ar-SA"/>
              </w:rPr>
              <w:t>88</w:t>
            </w:r>
            <w:r>
              <w:rPr>
                <w:rFonts w:eastAsia="Times New Roman" w:cs="Times New Roman"/>
                <w:kern w:val="0"/>
                <w:lang w:val="sv-SE" w:bidi="ar-SA"/>
              </w:rPr>
              <w:t xml:space="preserve">, </w:t>
            </w:r>
            <w:r>
              <w:rPr>
                <w:rFonts w:eastAsia="Times New Roman" w:cs="Times New Roman"/>
                <w:kern w:val="0"/>
                <w:u w:val="single"/>
                <w:lang w:val="sv-SE" w:bidi="ar-SA"/>
              </w:rPr>
              <w:t>90</w:t>
            </w:r>
          </w:p>
        </w:tc>
      </w:tr>
      <w:tr>
        <w:trPr/>
        <w:tc>
          <w:tcPr>
            <w:tcW w:w="68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SÖ5</w:t>
            </w:r>
          </w:p>
        </w:tc>
        <w:tc>
          <w:tcPr>
            <w:tcW w:w="3848"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Hypotesprövning.</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10: </w:t>
            </w:r>
            <w:r>
              <w:rPr>
                <w:rFonts w:eastAsia="Times New Roman" w:cs="Times New Roman"/>
                <w:kern w:val="0"/>
                <w:u w:val="single"/>
                <w:lang w:val="sv-SE" w:bidi="ar-SA"/>
              </w:rPr>
              <w:t>2</w:t>
            </w:r>
            <w:r>
              <w:rPr>
                <w:rFonts w:eastAsia="Times New Roman" w:cs="Times New Roman"/>
                <w:kern w:val="0"/>
                <w:lang w:val="sv-SE" w:bidi="ar-SA"/>
              </w:rPr>
              <w:t xml:space="preserve">, </w:t>
            </w:r>
            <w:r>
              <w:rPr>
                <w:rFonts w:eastAsia="Times New Roman" w:cs="Times New Roman"/>
                <w:kern w:val="0"/>
                <w:u w:val="single"/>
                <w:lang w:val="sv-SE" w:bidi="ar-SA"/>
              </w:rPr>
              <w:t>17</w:t>
            </w:r>
            <w:r>
              <w:rPr>
                <w:rFonts w:eastAsia="Times New Roman" w:cs="Times New Roman"/>
                <w:kern w:val="0"/>
                <w:lang w:val="sv-SE" w:bidi="ar-SA"/>
              </w:rPr>
              <w:t xml:space="preserve">, </w:t>
            </w:r>
            <w:r>
              <w:rPr>
                <w:rFonts w:eastAsia="Times New Roman" w:cs="Times New Roman"/>
                <w:kern w:val="0"/>
                <w:u w:val="single"/>
                <w:lang w:val="sv-SE" w:bidi="ar-SA"/>
              </w:rPr>
              <w:t>37</w:t>
            </w:r>
            <w:r>
              <w:rPr>
                <w:rFonts w:eastAsia="Times New Roman" w:cs="Times New Roman"/>
                <w:kern w:val="0"/>
                <w:lang w:val="sv-SE" w:bidi="ar-SA"/>
              </w:rPr>
              <w:t xml:space="preserve">, </w:t>
            </w:r>
            <w:r>
              <w:rPr>
                <w:rFonts w:eastAsia="Times New Roman" w:cs="Times New Roman"/>
                <w:kern w:val="0"/>
                <w:u w:val="single"/>
                <w:lang w:val="sv-SE" w:bidi="ar-SA"/>
              </w:rPr>
              <w:t>42</w:t>
            </w:r>
            <w:r>
              <w:rPr>
                <w:rFonts w:eastAsia="Times New Roman" w:cs="Times New Roman"/>
                <w:kern w:val="0"/>
                <w:lang w:val="sv-SE" w:bidi="ar-SA"/>
              </w:rPr>
              <w:t xml:space="preserve">; HT: </w:t>
            </w:r>
            <w:r>
              <w:rPr>
                <w:rFonts w:eastAsia="Times New Roman" w:cs="Times New Roman"/>
                <w:kern w:val="0"/>
                <w:u w:val="single"/>
                <w:lang w:val="sv-SE" w:bidi="ar-SA"/>
              </w:rPr>
              <w:t>1</w:t>
            </w:r>
            <w:r>
              <w:rPr>
                <w:rFonts w:eastAsia="Times New Roman" w:cs="Times New Roman"/>
                <w:kern w:val="0"/>
                <w:lang w:val="sv-SE" w:bidi="ar-SA"/>
              </w:rPr>
              <w:t xml:space="preserve">, </w:t>
            </w:r>
            <w:r>
              <w:rPr>
                <w:rFonts w:eastAsia="Times New Roman" w:cs="Times New Roman"/>
                <w:kern w:val="0"/>
                <w:u w:val="single"/>
                <w:lang w:val="sv-SE" w:bidi="ar-SA"/>
              </w:rPr>
              <w:t>2</w:t>
            </w:r>
            <w:r>
              <w:rPr>
                <w:rFonts w:eastAsia="Times New Roman" w:cs="Times New Roman"/>
                <w:kern w:val="0"/>
                <w:lang w:val="sv-SE" w:bidi="ar-SA"/>
              </w:rPr>
              <w:t xml:space="preserve">, 3, 4, </w:t>
            </w:r>
            <w:r>
              <w:rPr>
                <w:rFonts w:eastAsia="Times New Roman" w:cs="Times New Roman"/>
                <w:kern w:val="0"/>
                <w:u w:val="single"/>
                <w:lang w:val="sv-SE" w:bidi="ar-SA"/>
              </w:rPr>
              <w:t>5</w:t>
            </w:r>
            <w:r>
              <w:rPr>
                <w:rFonts w:eastAsia="Times New Roman" w:cs="Times New Roman"/>
                <w:kern w:val="0"/>
                <w:lang w:val="sv-SE" w:bidi="ar-SA"/>
              </w:rPr>
              <w:t xml:space="preserve">, </w:t>
            </w:r>
            <w:r>
              <w:rPr>
                <w:rFonts w:eastAsia="Times New Roman" w:cs="Times New Roman"/>
                <w:kern w:val="0"/>
                <w:u w:val="single"/>
                <w:lang w:val="sv-SE" w:bidi="ar-SA"/>
              </w:rPr>
              <w:t>9</w:t>
            </w:r>
            <w:r>
              <w:rPr>
                <w:rFonts w:eastAsia="Times New Roman" w:cs="Times New Roman"/>
                <w:kern w:val="0"/>
                <w:lang w:val="sv-SE" w:bidi="ar-SA"/>
              </w:rPr>
              <w:t xml:space="preserve">, 12, </w:t>
            </w:r>
            <w:r>
              <w:rPr>
                <w:rFonts w:eastAsia="Times New Roman" w:cs="Times New Roman"/>
                <w:kern w:val="0"/>
                <w:u w:val="single"/>
                <w:lang w:val="sv-SE" w:bidi="ar-SA"/>
              </w:rPr>
              <w:t>15</w:t>
            </w:r>
          </w:p>
        </w:tc>
      </w:tr>
      <w:tr>
        <w:trPr/>
        <w:tc>
          <w:tcPr>
            <w:tcW w:w="688"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SÖ6</w:t>
            </w:r>
          </w:p>
        </w:tc>
        <w:tc>
          <w:tcPr>
            <w:tcW w:w="3848" w:type="dxa"/>
            <w:tcBorders>
              <w:left w:val="nil"/>
              <w:righ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Hypotesprövning forts. Icke-parametriska metoder.</w:t>
            </w:r>
          </w:p>
        </w:tc>
        <w:tc>
          <w:tcPr>
            <w:tcW w:w="5103"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10: 54, </w:t>
            </w:r>
            <w:r>
              <w:rPr>
                <w:rFonts w:eastAsia="Times New Roman" w:cs="Times New Roman"/>
                <w:kern w:val="0"/>
                <w:u w:val="single"/>
                <w:lang w:val="sv-SE" w:bidi="ar-SA"/>
              </w:rPr>
              <w:t>57</w:t>
            </w:r>
            <w:r>
              <w:rPr>
                <w:rFonts w:eastAsia="Times New Roman" w:cs="Times New Roman"/>
                <w:kern w:val="0"/>
                <w:lang w:val="sv-SE" w:bidi="ar-SA"/>
              </w:rPr>
              <w:t xml:space="preserve">, 67, </w:t>
            </w:r>
            <w:r>
              <w:rPr>
                <w:rFonts w:eastAsia="Times New Roman" w:cs="Times New Roman"/>
                <w:kern w:val="0"/>
                <w:u w:val="single"/>
                <w:lang w:val="sv-SE" w:bidi="ar-SA"/>
              </w:rPr>
              <w:t>70</w:t>
            </w:r>
            <w:r>
              <w:rPr>
                <w:rFonts w:eastAsia="Times New Roman" w:cs="Times New Roman"/>
                <w:kern w:val="0"/>
                <w:lang w:val="sv-SE" w:bidi="ar-SA"/>
              </w:rPr>
              <w:t xml:space="preserve">, 78, </w:t>
            </w:r>
            <w:r>
              <w:rPr>
                <w:rFonts w:eastAsia="Times New Roman" w:cs="Times New Roman"/>
                <w:kern w:val="0"/>
                <w:u w:val="single"/>
                <w:lang w:val="sv-SE" w:bidi="ar-SA"/>
              </w:rPr>
              <w:t>115a-f</w:t>
            </w:r>
            <w:r>
              <w:rPr>
                <w:rFonts w:eastAsia="Times New Roman" w:cs="Times New Roman"/>
                <w:kern w:val="0"/>
                <w:lang w:val="sv-SE" w:bidi="ar-SA"/>
              </w:rPr>
              <w:t xml:space="preserve">, </w:t>
            </w:r>
            <w:r>
              <w:rPr>
                <w:rFonts w:eastAsia="Times New Roman" w:cs="Times New Roman"/>
                <w:kern w:val="0"/>
                <w:u w:val="single"/>
                <w:lang w:val="sv-SE" w:bidi="ar-SA"/>
              </w:rPr>
              <w:t>123b</w:t>
            </w:r>
            <w:r>
              <w:rPr>
                <w:rFonts w:eastAsia="Times New Roman" w:cs="Times New Roman"/>
                <w:kern w:val="0"/>
                <w:lang w:val="sv-SE" w:bidi="ar-SA"/>
              </w:rPr>
              <w:t xml:space="preserve">, och </w:t>
            </w:r>
          </w:p>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 xml:space="preserve">kap 15: </w:t>
            </w:r>
            <w:r>
              <w:rPr>
                <w:rFonts w:eastAsia="Times New Roman" w:cs="Times New Roman"/>
                <w:kern w:val="0"/>
                <w:u w:val="single"/>
                <w:lang w:val="sv-SE" w:bidi="ar-SA"/>
              </w:rPr>
              <w:t>3</w:t>
            </w:r>
            <w:r>
              <w:rPr>
                <w:rFonts w:eastAsia="Times New Roman" w:cs="Times New Roman"/>
                <w:kern w:val="0"/>
                <w:lang w:val="sv-SE" w:bidi="ar-SA"/>
              </w:rPr>
              <w:t xml:space="preserve">, 5, </w:t>
            </w:r>
            <w:r>
              <w:rPr>
                <w:rFonts w:eastAsia="Times New Roman" w:cs="Times New Roman"/>
                <w:kern w:val="0"/>
                <w:u w:val="single"/>
                <w:lang w:val="sv-SE" w:bidi="ar-SA"/>
              </w:rPr>
              <w:t xml:space="preserve">12, </w:t>
            </w:r>
            <w:r>
              <w:rPr>
                <w:rFonts w:eastAsia="Times New Roman" w:cs="Times New Roman"/>
                <w:kern w:val="0"/>
                <w:lang w:val="sv-SE" w:bidi="ar-SA"/>
              </w:rPr>
              <w:t xml:space="preserve">23, </w:t>
            </w:r>
            <w:r>
              <w:rPr>
                <w:rFonts w:eastAsia="Times New Roman" w:cs="Times New Roman"/>
                <w:kern w:val="0"/>
                <w:u w:val="single"/>
                <w:lang w:val="sv-SE" w:bidi="ar-SA"/>
              </w:rPr>
              <w:t>27</w:t>
            </w:r>
            <w:r>
              <w:rPr>
                <w:rFonts w:eastAsia="Times New Roman" w:cs="Times New Roman"/>
                <w:kern w:val="0"/>
                <w:lang w:val="sv-SE" w:bidi="ar-SA"/>
              </w:rPr>
              <w:t xml:space="preserve">, </w:t>
            </w:r>
            <w:r>
              <w:rPr>
                <w:rFonts w:eastAsia="Times New Roman" w:cs="Times New Roman"/>
                <w:kern w:val="0"/>
                <w:u w:val="single"/>
                <w:lang w:val="sv-SE" w:bidi="ar-SA"/>
              </w:rPr>
              <w:t>48</w:t>
            </w:r>
            <w:r>
              <w:rPr>
                <w:rFonts w:eastAsia="Times New Roman" w:cs="Times New Roman"/>
                <w:kern w:val="0"/>
                <w:lang w:val="sv-SE" w:bidi="ar-SA"/>
              </w:rPr>
              <w:t xml:space="preserve">, 50, </w:t>
            </w:r>
            <w:r>
              <w:rPr>
                <w:rFonts w:eastAsia="Times New Roman" w:cs="Times New Roman"/>
                <w:kern w:val="0"/>
                <w:u w:val="single"/>
                <w:lang w:val="sv-SE" w:bidi="ar-SA"/>
              </w:rPr>
              <w:t>55</w:t>
            </w:r>
            <w:r>
              <w:rPr>
                <w:rFonts w:eastAsia="Times New Roman" w:cs="Times New Roman"/>
                <w:kern w:val="0"/>
                <w:lang w:val="sv-SE" w:bidi="ar-SA"/>
              </w:rPr>
              <w:t>, 57</w:t>
            </w:r>
          </w:p>
        </w:tc>
      </w:tr>
    </w:tbl>
    <w:p>
      <w:pPr>
        <w:pStyle w:val="Normal"/>
        <w:rPr/>
      </w:pPr>
      <w:r>
        <w:rPr/>
      </w:r>
    </w:p>
    <w:tbl>
      <w:tblPr>
        <w:tblStyle w:val="Tabellista5"/>
        <w:tblW w:w="9639"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1133"/>
        <w:gridCol w:w="8505"/>
      </w:tblGrid>
      <w:tr>
        <w:trPr>
          <w:cnfStyle w:val="100000000000" w:firstRow="1" w:lastRow="0" w:firstColumn="0" w:lastColumn="0" w:oddVBand="0" w:evenVBand="0" w:oddHBand="0" w:evenHBand="0" w:firstRowFirstColumn="0" w:firstRowLastColumn="0" w:lastRowFirstColumn="0" w:lastRowLastColumn="0"/>
        </w:trPr>
        <w:tc>
          <w:tcPr>
            <w:tcW w:w="9638" w:type="dxa"/>
            <w:gridSpan w:val="2"/>
            <w:cnfStyle w:val="001000000000" w:firstRow="0" w:lastRow="0" w:firstColumn="1" w:lastColumn="0" w:oddVBand="0" w:evenVBand="0" w:oddHBand="0" w:evenHBand="0" w:firstRowFirstColumn="0" w:firstRowLastColumn="0" w:lastRowFirstColumn="0" w:lastRowLastColumn="0"/>
            <w:tcBorders>
              <w:bottom w:val="single" w:sz="12" w:space="0" w:color="000000"/>
            </w:tcBorders>
            <w:shd w:color="auto" w:fill="auto" w:val="clear"/>
          </w:tcPr>
          <w:p>
            <w:pPr>
              <w:pStyle w:val="Normal"/>
              <w:widowControl/>
              <w:spacing w:before="0" w:after="0"/>
              <w:jc w:val="left"/>
              <w:rPr>
                <w:b w:val="false"/>
                <w:b w:val="false"/>
              </w:rPr>
            </w:pPr>
            <w:r>
              <w:rPr>
                <w:rFonts w:eastAsia="Times New Roman" w:cs="Times New Roman"/>
                <w:b/>
                <w:bCs/>
                <w:kern w:val="0"/>
                <w:lang w:val="sv-SE" w:bidi="ar-SA"/>
              </w:rPr>
              <w:t>Datorövningar</w:t>
            </w:r>
          </w:p>
        </w:tc>
      </w:tr>
      <w:tr>
        <w:trPr/>
        <w:tc>
          <w:tcPr>
            <w:tcW w:w="113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D1 Obl.</w:t>
            </w:r>
          </w:p>
        </w:tc>
        <w:tc>
          <w:tcPr>
            <w:tcW w:w="85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Inferens.</w:t>
            </w:r>
          </w:p>
        </w:tc>
      </w:tr>
      <w:tr>
        <w:trPr/>
        <w:tc>
          <w:tcPr>
            <w:tcW w:w="113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D2 Obl.</w:t>
            </w:r>
          </w:p>
        </w:tc>
        <w:tc>
          <w:tcPr>
            <w:tcW w:w="85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Icke-parametriska metoder.</w:t>
            </w:r>
          </w:p>
        </w:tc>
      </w:tr>
      <w:tr>
        <w:trPr/>
        <w:tc>
          <w:tcPr>
            <w:tcW w:w="1133" w:type="dxa"/>
            <w:cnfStyle w:val="001000000000" w:firstRow="0" w:lastRow="0" w:firstColumn="1" w:lastColumn="0" w:oddVBand="0" w:evenVBand="0" w:oddHBand="0" w:evenHBand="0" w:firstRowFirstColumn="0" w:firstRowLastColumn="0" w:lastRowFirstColumn="0" w:lastRowLastColumn="0"/>
            <w:tcBorders>
              <w:right w:val="nil"/>
            </w:tcBorders>
            <w:shd w:color="auto" w:fill="auto" w:val="clear"/>
          </w:tcPr>
          <w:p>
            <w:pPr>
              <w:pStyle w:val="Normal"/>
              <w:widowControl/>
              <w:spacing w:before="0" w:after="0"/>
              <w:jc w:val="left"/>
              <w:rPr>
                <w:rFonts w:ascii="Times New Roman" w:hAnsi="Times New Roman" w:eastAsia="Times New Roman" w:cs="Times New Roman"/>
                <w:b/>
                <w:b/>
                <w:bCs/>
                <w:kern w:val="0"/>
                <w:lang w:val="sv-SE" w:bidi="ar-SA"/>
              </w:rPr>
            </w:pPr>
            <w:r>
              <w:rPr>
                <w:rFonts w:eastAsia="Times New Roman" w:cs="Times New Roman"/>
                <w:b/>
                <w:bCs/>
                <w:kern w:val="0"/>
                <w:lang w:val="sv-SE" w:bidi="ar-SA"/>
              </w:rPr>
              <w:t>D3</w:t>
            </w:r>
          </w:p>
        </w:tc>
        <w:tc>
          <w:tcPr>
            <w:tcW w:w="8505" w:type="dxa"/>
            <w:tcBorders>
              <w:left w:val="nil"/>
            </w:tcBorders>
            <w:shd w:color="auto" w:fill="auto" w:val="clear"/>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lang w:val="sv-SE" w:bidi="ar-SA"/>
              </w:rPr>
            </w:pPr>
            <w:r>
              <w:rPr>
                <w:rFonts w:eastAsia="Times New Roman" w:cs="Times New Roman"/>
                <w:kern w:val="0"/>
                <w:lang w:val="sv-SE" w:bidi="ar-SA"/>
              </w:rPr>
              <w:t>Arbete med inlämningsuppgift 2, möjlighet att få hjälp med programmering.</w:t>
            </w:r>
          </w:p>
        </w:tc>
      </w:tr>
    </w:tbl>
    <w:p>
      <w:pPr>
        <w:pStyle w:val="Normal"/>
        <w:rPr/>
      </w:pPr>
      <w:r>
        <w:rPr/>
      </w:r>
    </w:p>
    <w:p>
      <w:pPr>
        <w:pStyle w:val="Normal"/>
        <w:rPr/>
      </w:pPr>
      <w:r>
        <w:rPr/>
      </w:r>
    </w:p>
    <w:p>
      <w:pPr>
        <w:pStyle w:val="Normal"/>
        <w:suppressAutoHyphens w:val="false"/>
        <w:rPr/>
      </w:pPr>
      <w:r>
        <w:rPr/>
      </w:r>
    </w:p>
    <w:p>
      <w:pPr>
        <w:pStyle w:val="Normal"/>
        <w:rPr/>
      </w:pPr>
      <w:r>
        <w:rPr/>
        <w:t xml:space="preserve"> </w:t>
      </w:r>
    </w:p>
    <w:sectPr>
      <w:headerReference w:type="default" r:id="rId12"/>
      <w:footerReference w:type="default" r:id="rId13"/>
      <w:type w:val="nextPage"/>
      <w:pgSz w:w="11906" w:h="16838"/>
      <w:pgMar w:left="1134" w:right="1134" w:gutter="0" w:header="720" w:top="851" w:footer="72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536"/>
        <w:tab w:val="clear" w:pos="9072"/>
        <w:tab w:val="right" w:pos="9639" w:leader="none"/>
      </w:tabs>
      <w:rPr>
        <w:sz w:val="20"/>
        <w:szCs w:val="20"/>
      </w:rPr>
    </w:pPr>
    <w:r>
      <w:rPr>
        <w:sz w:val="20"/>
        <w:szCs w:val="20"/>
      </w:rPr>
      <w:t>Statist</w:t>
    </w:r>
    <w:r>
      <w:rPr>
        <w:sz w:val="20"/>
        <w:szCs w:val="20"/>
      </w:rPr>
      <w:t>ik och dataanalys I</w:t>
    </w:r>
    <w:r>
      <w:rPr>
        <w:sz w:val="20"/>
        <w:szCs w:val="20"/>
      </w:rPr>
      <w:t xml:space="preserve">, </w:t>
    </w:r>
    <w:r>
      <w:rPr>
        <w:rFonts w:eastAsia="TimesNewRomanPSMT"/>
        <w:bCs/>
        <w:color w:val="000000"/>
        <w:sz w:val="20"/>
        <w:szCs w:val="20"/>
        <w:lang w:eastAsia="sv-SE"/>
      </w:rPr>
      <w:t>ST</w:t>
    </w:r>
    <w:r>
      <w:rPr>
        <w:rFonts w:eastAsia="TimesNewRomanPSMT"/>
        <w:bCs/>
        <w:color w:val="000000"/>
        <w:sz w:val="20"/>
        <w:szCs w:val="20"/>
        <w:lang w:eastAsia="sv-SE"/>
      </w:rPr>
      <w:t>1101</w:t>
    </w:r>
    <w:r>
      <w:rPr>
        <w:sz w:val="20"/>
        <w:szCs w:val="20"/>
      </w:rPr>
      <w:t xml:space="preserve">, </w:t>
    </w:r>
    <w:r>
      <w:rPr>
        <w:rFonts w:eastAsia="TimesNewRomanPSMT"/>
        <w:bCs/>
        <w:color w:val="000000"/>
        <w:sz w:val="20"/>
        <w:szCs w:val="20"/>
        <w:lang w:eastAsia="sv-SE"/>
      </w:rPr>
      <w:t xml:space="preserve">15 högskolepoäng, </w:t>
    </w:r>
    <w:r>
      <w:rPr>
        <w:rFonts w:eastAsia="TimesNewRomanPSMT"/>
        <w:bCs/>
        <w:color w:val="000000"/>
        <w:sz w:val="20"/>
        <w:szCs w:val="20"/>
        <w:lang w:eastAsia="sv-SE"/>
      </w:rPr>
      <w:t>V</w:t>
    </w:r>
    <w:r>
      <w:rPr>
        <w:sz w:val="20"/>
        <w:szCs w:val="20"/>
      </w:rPr>
      <w:t>T 202</w:t>
    </w:r>
    <w:r>
      <w:rPr>
        <w:sz w:val="20"/>
        <w:szCs w:val="20"/>
      </w:rPr>
      <w:t>3</w:t>
    </w:r>
    <w:r>
      <w:rPr>
        <w:sz w:val="20"/>
        <w:szCs w:val="20"/>
      </w:rPr>
      <w:tab/>
      <w:t>Kursbeskrivning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04340044"/>
    </w:sdtPr>
    <w:sdtContent>
      <w:p>
        <w:pPr>
          <w:pStyle w:val="Header"/>
          <w:jc w:val="right"/>
          <w:rPr/>
        </w:pPr>
        <w:r>
          <w:rPr/>
          <w:fldChar w:fldCharType="begin"/>
        </w:r>
        <w:r>
          <w:rPr/>
          <w:instrText xml:space="preserve"> PAGE </w:instrText>
        </w:r>
        <w:r>
          <w:rPr/>
          <w:fldChar w:fldCharType="separate"/>
        </w:r>
        <w:r>
          <w:rPr/>
          <w:t>3</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b w:val="false"/>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Prov %1."/>
      <w:lvlJc w:val="left"/>
      <w:pPr>
        <w:tabs>
          <w:tab w:val="num" w:pos="0"/>
        </w:tabs>
        <w:ind w:left="720" w:hanging="360"/>
      </w:pPr>
      <w:rPr>
        <w:i w:val="false"/>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6"/>
  <w:embedSystemFonts/>
  <w:defaultTabStop w:val="624"/>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357"/>
  <w:themeFontLang w:val="sv-SE"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sv-SE" w:eastAsia="sv-S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4127a"/>
    <w:pPr>
      <w:widowControl/>
      <w:suppressAutoHyphens w:val="true"/>
      <w:bidi w:val="0"/>
      <w:spacing w:before="0" w:after="0"/>
      <w:jc w:val="left"/>
    </w:pPr>
    <w:rPr>
      <w:rFonts w:ascii="Times New Roman" w:hAnsi="Times New Roman" w:eastAsia="Times New Roman" w:cs="Times New Roman"/>
      <w:color w:val="auto"/>
      <w:kern w:val="0"/>
      <w:sz w:val="24"/>
      <w:szCs w:val="24"/>
      <w:lang w:eastAsia="ar-SA" w:val="sv-SE" w:bidi="ar-SA"/>
    </w:rPr>
  </w:style>
  <w:style w:type="paragraph" w:styleId="Heading1">
    <w:name w:val="Heading 1"/>
    <w:basedOn w:val="Normal"/>
    <w:next w:val="Normal"/>
    <w:qFormat/>
    <w:rsid w:val="0054127a"/>
    <w:pPr>
      <w:keepNext w:val="true"/>
      <w:outlineLvl w:val="0"/>
    </w:pPr>
    <w:rPr>
      <w:b/>
      <w:bCs/>
    </w:rPr>
  </w:style>
  <w:style w:type="paragraph" w:styleId="Heading2">
    <w:name w:val="Heading 2"/>
    <w:basedOn w:val="Normal"/>
    <w:next w:val="Normal"/>
    <w:qFormat/>
    <w:rsid w:val="0054127a"/>
    <w:pPr>
      <w:keepNext w:val="true"/>
      <w:outlineLvl w:val="1"/>
    </w:pPr>
    <w:rPr>
      <w:b/>
      <w:bCs/>
      <w:sz w:val="32"/>
    </w:rPr>
  </w:style>
  <w:style w:type="paragraph" w:styleId="Heading3">
    <w:name w:val="Heading 3"/>
    <w:basedOn w:val="Normal"/>
    <w:next w:val="Normal"/>
    <w:qFormat/>
    <w:rsid w:val="0054127a"/>
    <w:pPr>
      <w:keepNext w:val="true"/>
      <w:outlineLvl w:val="2"/>
    </w:pPr>
    <w:rPr>
      <w:i/>
      <w:iCs/>
    </w:rPr>
  </w:style>
  <w:style w:type="paragraph" w:styleId="Heading4">
    <w:name w:val="Heading 4"/>
    <w:basedOn w:val="Normal"/>
    <w:next w:val="Normal"/>
    <w:qFormat/>
    <w:rsid w:val="0054127a"/>
    <w:pPr>
      <w:keepNext w:val="true"/>
      <w:numPr>
        <w:ilvl w:val="3"/>
        <w:numId w:val="1"/>
      </w:numPr>
      <w:outlineLvl w:val="3"/>
    </w:pPr>
    <w:rPr>
      <w:b/>
      <w:bCs/>
    </w:rPr>
  </w:style>
  <w:style w:type="paragraph" w:styleId="Heading5">
    <w:name w:val="Heading 5"/>
    <w:basedOn w:val="Normal"/>
    <w:next w:val="Normal"/>
    <w:qFormat/>
    <w:rsid w:val="0054127a"/>
    <w:pPr>
      <w:keepNext w:val="true"/>
      <w:jc w:val="both"/>
      <w:outlineLvl w:val="4"/>
    </w:pPr>
    <w:rPr>
      <w:b/>
      <w:bCs/>
      <w:caps/>
      <w:szCs w:val="22"/>
    </w:rPr>
  </w:style>
  <w:style w:type="paragraph" w:styleId="Heading6">
    <w:name w:val="Heading 6"/>
    <w:basedOn w:val="Normal"/>
    <w:next w:val="Normal"/>
    <w:qFormat/>
    <w:rsid w:val="0054127a"/>
    <w:pPr>
      <w:keepNext w:val="true"/>
      <w:jc w:val="right"/>
      <w:outlineLvl w:val="5"/>
    </w:pPr>
    <w:rPr>
      <w:b/>
      <w:bCs/>
    </w:rPr>
  </w:style>
  <w:style w:type="character" w:styleId="DefaultParagraphFont" w:default="1">
    <w:name w:val="Default Paragraph Font"/>
    <w:uiPriority w:val="1"/>
    <w:semiHidden/>
    <w:unhideWhenUsed/>
    <w:qFormat/>
    <w:rPr/>
  </w:style>
  <w:style w:type="character" w:styleId="AbsatzStandardschriftart" w:customStyle="1">
    <w:name w:val="Absatz-Standardschriftart"/>
    <w:qFormat/>
    <w:rsid w:val="0054127a"/>
    <w:rPr/>
  </w:style>
  <w:style w:type="character" w:styleId="WW8Num3z0" w:customStyle="1">
    <w:name w:val="WW8Num3z0"/>
    <w:qFormat/>
    <w:rsid w:val="0054127a"/>
    <w:rPr>
      <w:rFonts w:ascii="Symbol" w:hAnsi="Symbol"/>
    </w:rPr>
  </w:style>
  <w:style w:type="character" w:styleId="WW8Num3z1" w:customStyle="1">
    <w:name w:val="WW8Num3z1"/>
    <w:qFormat/>
    <w:rsid w:val="0054127a"/>
    <w:rPr>
      <w:rFonts w:ascii="Courier New" w:hAnsi="Courier New" w:cs="Courier New"/>
    </w:rPr>
  </w:style>
  <w:style w:type="character" w:styleId="WW8Num3z2" w:customStyle="1">
    <w:name w:val="WW8Num3z2"/>
    <w:qFormat/>
    <w:rsid w:val="0054127a"/>
    <w:rPr>
      <w:rFonts w:ascii="Wingdings" w:hAnsi="Wingdings"/>
    </w:rPr>
  </w:style>
  <w:style w:type="character" w:styleId="WW8Num4z0" w:customStyle="1">
    <w:name w:val="WW8Num4z0"/>
    <w:qFormat/>
    <w:rsid w:val="0054127a"/>
    <w:rPr>
      <w:rFonts w:ascii="Symbol" w:hAnsi="Symbol"/>
    </w:rPr>
  </w:style>
  <w:style w:type="character" w:styleId="WW8Num4z1" w:customStyle="1">
    <w:name w:val="WW8Num4z1"/>
    <w:qFormat/>
    <w:rsid w:val="0054127a"/>
    <w:rPr>
      <w:rFonts w:ascii="Courier New" w:hAnsi="Courier New"/>
    </w:rPr>
  </w:style>
  <w:style w:type="character" w:styleId="WW8Num4z2" w:customStyle="1">
    <w:name w:val="WW8Num4z2"/>
    <w:qFormat/>
    <w:rsid w:val="0054127a"/>
    <w:rPr>
      <w:rFonts w:ascii="Wingdings" w:hAnsi="Wingdings"/>
    </w:rPr>
  </w:style>
  <w:style w:type="character" w:styleId="Standardstycketeckensnitt1" w:customStyle="1">
    <w:name w:val="Standardstycketeckensnitt1"/>
    <w:qFormat/>
    <w:rsid w:val="0054127a"/>
    <w:rPr/>
  </w:style>
  <w:style w:type="character" w:styleId="BrdtextChar" w:customStyle="1">
    <w:name w:val="Brödtext Char"/>
    <w:basedOn w:val="Standardstycketeckensnitt1"/>
    <w:qFormat/>
    <w:rsid w:val="0054127a"/>
    <w:rPr>
      <w:sz w:val="24"/>
      <w:szCs w:val="24"/>
      <w:lang w:val="sv-SE" w:eastAsia="ar-SA" w:bidi="ar-SA"/>
    </w:rPr>
  </w:style>
  <w:style w:type="character" w:styleId="RubrikChar" w:customStyle="1">
    <w:name w:val="Rubrik Char"/>
    <w:basedOn w:val="DefaultParagraphFont"/>
    <w:link w:val="Title"/>
    <w:qFormat/>
    <w:rsid w:val="00595c9c"/>
    <w:rPr>
      <w:rFonts w:ascii="Cambria" w:hAnsi="Cambria" w:eastAsia="Times New Roman" w:cs="Times New Roman"/>
      <w:b/>
      <w:bCs/>
      <w:kern w:val="2"/>
      <w:sz w:val="32"/>
      <w:szCs w:val="32"/>
      <w:lang w:eastAsia="ar-SA"/>
    </w:rPr>
  </w:style>
  <w:style w:type="character" w:styleId="InternetLink">
    <w:name w:val="Hyperlink"/>
    <w:basedOn w:val="DefaultParagraphFont"/>
    <w:rsid w:val="00ef172e"/>
    <w:rPr>
      <w:color w:val="0000FF"/>
      <w:u w:val="single"/>
    </w:rPr>
  </w:style>
  <w:style w:type="character" w:styleId="VisitedInternetLink">
    <w:name w:val="FollowedHyperlink"/>
    <w:basedOn w:val="DefaultParagraphFont"/>
    <w:rsid w:val="00ef172e"/>
    <w:rPr>
      <w:color w:val="800080"/>
      <w:u w:val="single"/>
    </w:rPr>
  </w:style>
  <w:style w:type="character" w:styleId="SidhuvudChar" w:customStyle="1">
    <w:name w:val="Sidhuvud Char"/>
    <w:basedOn w:val="DefaultParagraphFont"/>
    <w:link w:val="Header"/>
    <w:uiPriority w:val="99"/>
    <w:qFormat/>
    <w:rsid w:val="008875d8"/>
    <w:rPr>
      <w:sz w:val="24"/>
      <w:szCs w:val="24"/>
      <w:lang w:eastAsia="ar-SA"/>
    </w:rPr>
  </w:style>
  <w:style w:type="character" w:styleId="SidfotChar" w:customStyle="1">
    <w:name w:val="Sidfot Char"/>
    <w:basedOn w:val="DefaultParagraphFont"/>
    <w:link w:val="Footer"/>
    <w:uiPriority w:val="99"/>
    <w:qFormat/>
    <w:rsid w:val="008875d8"/>
    <w:rPr>
      <w:sz w:val="24"/>
      <w:szCs w:val="24"/>
      <w:lang w:eastAsia="ar-SA"/>
    </w:rPr>
  </w:style>
  <w:style w:type="character" w:styleId="BallongtextChar" w:customStyle="1">
    <w:name w:val="Ballongtext Char"/>
    <w:basedOn w:val="DefaultParagraphFont"/>
    <w:link w:val="BalloonText"/>
    <w:qFormat/>
    <w:rsid w:val="008875d8"/>
    <w:rPr>
      <w:rFonts w:ascii="Tahoma" w:hAnsi="Tahoma" w:cs="Tahoma"/>
      <w:sz w:val="16"/>
      <w:szCs w:val="16"/>
      <w:lang w:eastAsia="ar-SA"/>
    </w:rPr>
  </w:style>
  <w:style w:type="character" w:styleId="Annotationreference">
    <w:name w:val="annotation reference"/>
    <w:basedOn w:val="DefaultParagraphFont"/>
    <w:qFormat/>
    <w:rsid w:val="00046d7a"/>
    <w:rPr>
      <w:sz w:val="16"/>
      <w:szCs w:val="16"/>
    </w:rPr>
  </w:style>
  <w:style w:type="character" w:styleId="KommentarerChar" w:customStyle="1">
    <w:name w:val="Kommentarer Char"/>
    <w:basedOn w:val="DefaultParagraphFont"/>
    <w:link w:val="Annotationtext"/>
    <w:qFormat/>
    <w:rsid w:val="00046d7a"/>
    <w:rPr>
      <w:lang w:eastAsia="ar-SA"/>
    </w:rPr>
  </w:style>
  <w:style w:type="character" w:styleId="KommentarsmneChar" w:customStyle="1">
    <w:name w:val="Kommentarsämne Char"/>
    <w:basedOn w:val="KommentarerChar"/>
    <w:link w:val="Annotationsubject"/>
    <w:qFormat/>
    <w:rsid w:val="00046d7a"/>
    <w:rPr>
      <w:b/>
      <w:bCs/>
      <w:lang w:eastAsia="ar-SA"/>
    </w:rPr>
  </w:style>
  <w:style w:type="character" w:styleId="Tx" w:customStyle="1">
    <w:name w:val="tx"/>
    <w:basedOn w:val="DefaultParagraphFont"/>
    <w:qFormat/>
    <w:rsid w:val="00861019"/>
    <w:rPr/>
  </w:style>
  <w:style w:type="character" w:styleId="Emphasis">
    <w:name w:val="Emphasis"/>
    <w:basedOn w:val="DefaultParagraphFont"/>
    <w:qFormat/>
    <w:rsid w:val="00a83cde"/>
    <w:rPr>
      <w:i/>
      <w:iCs/>
    </w:rPr>
  </w:style>
  <w:style w:type="character" w:styleId="Strong">
    <w:name w:val="Strong"/>
    <w:basedOn w:val="DefaultParagraphFont"/>
    <w:qFormat/>
    <w:rsid w:val="00a83cde"/>
    <w:rPr>
      <w:b/>
      <w:bCs/>
    </w:rPr>
  </w:style>
  <w:style w:type="character" w:styleId="Olstomnmnande1" w:customStyle="1">
    <w:name w:val="Olöst omnämnande1"/>
    <w:basedOn w:val="DefaultParagraphFont"/>
    <w:uiPriority w:val="99"/>
    <w:semiHidden/>
    <w:unhideWhenUsed/>
    <w:qFormat/>
    <w:rsid w:val="00455678"/>
    <w:rPr>
      <w:color w:val="605E5C"/>
      <w:shd w:fill="E1DFDD" w:val="clear"/>
    </w:rPr>
  </w:style>
  <w:style w:type="character" w:styleId="UnresolvedMention">
    <w:name w:val="Unresolved Mention"/>
    <w:basedOn w:val="DefaultParagraphFont"/>
    <w:uiPriority w:val="99"/>
    <w:semiHidden/>
    <w:unhideWhenUsed/>
    <w:qFormat/>
    <w:rsid w:val="007668d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rsid w:val="0054127a"/>
    <w:pPr>
      <w:jc w:val="both"/>
    </w:pPr>
    <w:rPr/>
  </w:style>
  <w:style w:type="paragraph" w:styleId="List">
    <w:name w:val="List"/>
    <w:basedOn w:val="TextBody"/>
    <w:rsid w:val="0054127a"/>
    <w:pPr/>
    <w:rPr>
      <w:rFonts w:cs="Tahoma"/>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Rubrik1" w:customStyle="1">
    <w:name w:val="Rubrik1"/>
    <w:basedOn w:val="Normal"/>
    <w:next w:val="TextBody"/>
    <w:qFormat/>
    <w:rsid w:val="0054127a"/>
    <w:pPr>
      <w:keepNext w:val="true"/>
      <w:spacing w:before="240" w:after="120"/>
    </w:pPr>
    <w:rPr>
      <w:rFonts w:ascii="Arial" w:hAnsi="Arial" w:eastAsia="Lucida Sans Unicode" w:cs="Tahoma"/>
      <w:sz w:val="28"/>
      <w:szCs w:val="28"/>
    </w:rPr>
  </w:style>
  <w:style w:type="paragraph" w:styleId="Bildtext" w:customStyle="1">
    <w:name w:val="Bildtext"/>
    <w:basedOn w:val="Normal"/>
    <w:qFormat/>
    <w:rsid w:val="0054127a"/>
    <w:pPr>
      <w:suppressLineNumbers/>
      <w:spacing w:before="120" w:after="120"/>
    </w:pPr>
    <w:rPr>
      <w:rFonts w:cs="Tahoma"/>
      <w:i/>
      <w:iCs/>
    </w:rPr>
  </w:style>
  <w:style w:type="paragraph" w:styleId="Frteckning" w:customStyle="1">
    <w:name w:val="Förteckning"/>
    <w:basedOn w:val="Normal"/>
    <w:qFormat/>
    <w:rsid w:val="0054127a"/>
    <w:pPr>
      <w:suppressLineNumbers/>
    </w:pPr>
    <w:rPr>
      <w:rFonts w:cs="Tahoma"/>
    </w:rPr>
  </w:style>
  <w:style w:type="paragraph" w:styleId="Brdtext21" w:customStyle="1">
    <w:name w:val="Brödtext 21"/>
    <w:basedOn w:val="Normal"/>
    <w:qFormat/>
    <w:rsid w:val="0054127a"/>
    <w:pPr>
      <w:jc w:val="both"/>
    </w:pPr>
    <w:rPr/>
  </w:style>
  <w:style w:type="paragraph" w:styleId="Brdtext31" w:customStyle="1">
    <w:name w:val="Brödtext 31"/>
    <w:basedOn w:val="Normal"/>
    <w:qFormat/>
    <w:rsid w:val="0054127a"/>
    <w:pPr>
      <w:jc w:val="right"/>
    </w:pPr>
    <w:rPr>
      <w:b/>
      <w:bCs/>
    </w:rPr>
  </w:style>
  <w:style w:type="paragraph" w:styleId="Dokumentversikt1" w:customStyle="1">
    <w:name w:val="Dokumentöversikt1"/>
    <w:basedOn w:val="Normal"/>
    <w:qFormat/>
    <w:rsid w:val="0054127a"/>
    <w:pPr>
      <w:shd w:val="clear" w:color="auto" w:fill="000080"/>
    </w:pPr>
    <w:rPr>
      <w:rFonts w:ascii="Tahoma" w:hAnsi="Tahoma" w:cs="Tahoma"/>
      <w:sz w:val="20"/>
      <w:szCs w:val="20"/>
    </w:rPr>
  </w:style>
  <w:style w:type="paragraph" w:styleId="Tabellinnehll" w:customStyle="1">
    <w:name w:val="Tabellinnehåll"/>
    <w:basedOn w:val="Normal"/>
    <w:qFormat/>
    <w:rsid w:val="0054127a"/>
    <w:pPr>
      <w:suppressLineNumbers/>
    </w:pPr>
    <w:rPr/>
  </w:style>
  <w:style w:type="paragraph" w:styleId="Tabellrubrik" w:customStyle="1">
    <w:name w:val="Tabellrubrik"/>
    <w:basedOn w:val="Tabellinnehll"/>
    <w:qFormat/>
    <w:rsid w:val="0054127a"/>
    <w:pPr>
      <w:jc w:val="center"/>
    </w:pPr>
    <w:rPr>
      <w:b/>
      <w:bCs/>
    </w:rPr>
  </w:style>
  <w:style w:type="paragraph" w:styleId="DocumentMap">
    <w:name w:val="Document Map"/>
    <w:basedOn w:val="Normal"/>
    <w:semiHidden/>
    <w:qFormat/>
    <w:rsid w:val="00405b43"/>
    <w:pPr>
      <w:shd w:val="clear" w:color="auto" w:fill="000080"/>
    </w:pPr>
    <w:rPr>
      <w:rFonts w:ascii="Tahoma" w:hAnsi="Tahoma" w:cs="Tahoma"/>
      <w:sz w:val="20"/>
      <w:szCs w:val="20"/>
    </w:rPr>
  </w:style>
  <w:style w:type="paragraph" w:styleId="BodyText3">
    <w:name w:val="Body Text 3"/>
    <w:basedOn w:val="Normal"/>
    <w:qFormat/>
    <w:rsid w:val="0086743b"/>
    <w:pPr>
      <w:spacing w:before="0" w:after="120"/>
    </w:pPr>
    <w:rPr>
      <w:sz w:val="16"/>
      <w:szCs w:val="16"/>
    </w:rPr>
  </w:style>
  <w:style w:type="paragraph" w:styleId="Title">
    <w:name w:val="Title"/>
    <w:basedOn w:val="Normal"/>
    <w:next w:val="Normal"/>
    <w:link w:val="RubrikChar"/>
    <w:qFormat/>
    <w:rsid w:val="00595c9c"/>
    <w:pPr>
      <w:spacing w:before="240" w:after="60"/>
      <w:jc w:val="center"/>
      <w:outlineLvl w:val="0"/>
    </w:pPr>
    <w:rPr>
      <w:rFonts w:ascii="Cambria" w:hAnsi="Cambria"/>
      <w:b/>
      <w:bCs/>
      <w:kern w:val="2"/>
      <w:sz w:val="32"/>
      <w:szCs w:val="32"/>
    </w:rPr>
  </w:style>
  <w:style w:type="paragraph" w:styleId="HeaderandFooter">
    <w:name w:val="Header and Footer"/>
    <w:basedOn w:val="Normal"/>
    <w:qFormat/>
    <w:pPr/>
    <w:rPr/>
  </w:style>
  <w:style w:type="paragraph" w:styleId="Header">
    <w:name w:val="Header"/>
    <w:basedOn w:val="Normal"/>
    <w:link w:val="SidhuvudChar"/>
    <w:uiPriority w:val="99"/>
    <w:rsid w:val="008875d8"/>
    <w:pPr>
      <w:tabs>
        <w:tab w:val="clear" w:pos="624"/>
        <w:tab w:val="center" w:pos="4536" w:leader="none"/>
        <w:tab w:val="right" w:pos="9072" w:leader="none"/>
      </w:tabs>
    </w:pPr>
    <w:rPr/>
  </w:style>
  <w:style w:type="paragraph" w:styleId="Footer">
    <w:name w:val="Footer"/>
    <w:basedOn w:val="Normal"/>
    <w:link w:val="SidfotChar"/>
    <w:uiPriority w:val="99"/>
    <w:rsid w:val="008875d8"/>
    <w:pPr>
      <w:tabs>
        <w:tab w:val="clear" w:pos="624"/>
        <w:tab w:val="center" w:pos="4536" w:leader="none"/>
        <w:tab w:val="right" w:pos="9072" w:leader="none"/>
      </w:tabs>
    </w:pPr>
    <w:rPr/>
  </w:style>
  <w:style w:type="paragraph" w:styleId="BalloonText">
    <w:name w:val="Balloon Text"/>
    <w:basedOn w:val="Normal"/>
    <w:link w:val="BallongtextChar"/>
    <w:qFormat/>
    <w:rsid w:val="008875d8"/>
    <w:pPr/>
    <w:rPr>
      <w:rFonts w:ascii="Tahoma" w:hAnsi="Tahoma" w:cs="Tahoma"/>
      <w:sz w:val="16"/>
      <w:szCs w:val="16"/>
    </w:rPr>
  </w:style>
  <w:style w:type="paragraph" w:styleId="ListParagraph">
    <w:name w:val="List Paragraph"/>
    <w:basedOn w:val="Normal"/>
    <w:uiPriority w:val="34"/>
    <w:qFormat/>
    <w:rsid w:val="0094234c"/>
    <w:pPr>
      <w:spacing w:before="0" w:after="0"/>
      <w:ind w:left="720" w:hanging="0"/>
      <w:contextualSpacing/>
    </w:pPr>
    <w:rPr/>
  </w:style>
  <w:style w:type="paragraph" w:styleId="Default" w:customStyle="1">
    <w:name w:val="Default"/>
    <w:qFormat/>
    <w:rsid w:val="00bc64b7"/>
    <w:pPr>
      <w:widowControl/>
      <w:bidi w:val="0"/>
      <w:spacing w:before="0" w:after="0"/>
      <w:jc w:val="left"/>
    </w:pPr>
    <w:rPr>
      <w:rFonts w:ascii="Times New Roman" w:hAnsi="Times New Roman" w:eastAsia="Times New Roman" w:cs="Times New Roman"/>
      <w:color w:val="000000"/>
      <w:kern w:val="0"/>
      <w:sz w:val="24"/>
      <w:szCs w:val="24"/>
      <w:lang w:val="sv-SE" w:eastAsia="sv-SE" w:bidi="ar-SA"/>
    </w:rPr>
  </w:style>
  <w:style w:type="paragraph" w:styleId="Annotationtext">
    <w:name w:val="annotation text"/>
    <w:basedOn w:val="Normal"/>
    <w:link w:val="KommentarerChar"/>
    <w:qFormat/>
    <w:rsid w:val="00046d7a"/>
    <w:pPr/>
    <w:rPr>
      <w:sz w:val="20"/>
      <w:szCs w:val="20"/>
    </w:rPr>
  </w:style>
  <w:style w:type="paragraph" w:styleId="Annotationsubject">
    <w:name w:val="annotation subject"/>
    <w:basedOn w:val="Annotationtext"/>
    <w:next w:val="Annotationtext"/>
    <w:link w:val="KommentarsmneChar"/>
    <w:qFormat/>
    <w:rsid w:val="00046d7a"/>
    <w:pPr/>
    <w:rPr>
      <w:b/>
      <w:bCs/>
    </w:rPr>
  </w:style>
  <w:style w:type="paragraph" w:styleId="NoSpacing">
    <w:name w:val="No Spacing"/>
    <w:uiPriority w:val="1"/>
    <w:qFormat/>
    <w:rsid w:val="00b30e86"/>
    <w:pPr>
      <w:widowControl/>
      <w:suppressAutoHyphens w:val="true"/>
      <w:bidi w:val="0"/>
      <w:spacing w:before="0" w:after="0"/>
      <w:jc w:val="left"/>
    </w:pPr>
    <w:rPr>
      <w:rFonts w:ascii="Times New Roman" w:hAnsi="Times New Roman" w:eastAsia="Times New Roman" w:cs="Times New Roman"/>
      <w:color w:val="auto"/>
      <w:kern w:val="0"/>
      <w:sz w:val="24"/>
      <w:szCs w:val="24"/>
      <w:lang w:eastAsia="ar-SA" w:val="sv-SE" w:bidi="ar-SA"/>
    </w:rPr>
  </w:style>
  <w:style w:type="numbering" w:styleId="NoList" w:default="1">
    <w:name w:val="No List"/>
    <w:uiPriority w:val="99"/>
    <w:semiHidden/>
    <w:unhideWhenUsed/>
    <w:qFormat/>
  </w:style>
  <w:style w:type="table" w:default="1" w:styleId="Normaltabell">
    <w:name w:val="Normal Table"/>
    <w:uiPriority w:val="99"/>
    <w:semiHidden/>
    <w:unhideWhenUsed/>
    <w:tblPr>
      <w:tblCellMar>
        <w:top w:w="0" w:type="dxa"/>
        <w:left w:w="108" w:type="dxa"/>
        <w:bottom w:w="0" w:type="dxa"/>
        <w:right w:w="108" w:type="dxa"/>
      </w:tblCellMar>
    </w:tblPr>
  </w:style>
  <w:style w:type="table" w:styleId="Tabellrutnt">
    <w:name w:val="Table Grid"/>
    <w:basedOn w:val="Normaltabell"/>
    <w:uiPriority w:val="59"/>
    <w:rsid w:val="003161b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Webbtabell1">
    <w:name w:val="Table Web 1"/>
    <w:basedOn w:val="Normaltabell"/>
    <w:rsid w:val="005a6b60"/>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l2br w:val="none" w:color="auto" w:sz="0" w:space="0"/>
          <w:tr2bl w:val="none" w:color="auto" w:sz="0" w:space="0"/>
        </w:tcBorders>
      </w:tcPr>
    </w:tblStylePr>
  </w:style>
  <w:style w:type="table" w:styleId="Tabelltema">
    <w:name w:val="Table Theme"/>
    <w:basedOn w:val="Normaltabell"/>
    <w:rsid w:val="00a0413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ista5">
    <w:name w:val="Table List 5"/>
    <w:basedOn w:val="Normaltabell"/>
    <w:rsid w:val="00894068"/>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ellrutnt1">
    <w:name w:val="Table Grid 1"/>
    <w:basedOn w:val="Normaltabell"/>
    <w:rsid w:val="00894068"/>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Ljusskuggning-dekorfrg4">
    <w:name w:val="Light Shading Accent 4"/>
    <w:basedOn w:val="Normaltabell"/>
    <w:uiPriority w:val="60"/>
    <w:rsid w:val="00894068"/>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894068"/>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Frgadlista">
    <w:name w:val="Colorful List"/>
    <w:basedOn w:val="Normaltabell"/>
    <w:uiPriority w:val="72"/>
    <w:rsid w:val="0089406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tandardtabell4">
    <w:name w:val="Table Classic 4"/>
    <w:basedOn w:val="Normaltabell"/>
    <w:rsid w:val="00894068"/>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ellmed3D-effekter1">
    <w:name w:val="Table 3D effects 1"/>
    <w:basedOn w:val="Normaltabell"/>
    <w:rsid w:val="00894068"/>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ellrutnt5">
    <w:name w:val="Table Grid 5"/>
    <w:basedOn w:val="Normaltabell"/>
    <w:rsid w:val="00894068"/>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Enkeltabell3">
    <w:name w:val="Table Simple 3"/>
    <w:basedOn w:val="Normaltabell"/>
    <w:rsid w:val="003100f9"/>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ellmedkolumn1">
    <w:name w:val="Table Columns 1"/>
    <w:basedOn w:val="Normaltabell"/>
    <w:rsid w:val="003100f9"/>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Standardtabell1">
    <w:name w:val="Table Classic 1"/>
    <w:basedOn w:val="Normaltabell"/>
    <w:rsid w:val="003100f9"/>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rutnt6">
    <w:name w:val="Table Grid 6"/>
    <w:basedOn w:val="Normaltabell"/>
    <w:rsid w:val="003100f9"/>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jessica.franzen@stat.su.se" TargetMode="External"/><Relationship Id="rId4" Type="http://schemas.openxmlformats.org/officeDocument/2006/relationships/hyperlink" Target="mailto:hans.nyquist@stat.su.se" TargetMode="External"/><Relationship Id="rId5" Type="http://schemas.openxmlformats.org/officeDocument/2006/relationships/hyperlink" Target="mailto:oscar.oelrich@stat.su.se" TargetMode="External"/><Relationship Id="rId6" Type="http://schemas.openxmlformats.org/officeDocument/2006/relationships/hyperlink" Target="mailto:masar.al-mosawi@stat.su.se" TargetMode="External"/><Relationship Id="rId7" Type="http://schemas.openxmlformats.org/officeDocument/2006/relationships/hyperlink" Target="http://www.statistics.su.se/" TargetMode="External"/><Relationship Id="rId8" Type="http://schemas.openxmlformats.org/officeDocument/2006/relationships/hyperlink" Target="https://www.su.se/sok-kurser-och-program/st211g-1.411704" TargetMode="External"/><Relationship Id="rId9" Type="http://schemas.openxmlformats.org/officeDocument/2006/relationships/hyperlink" Target="https://www.su.se/sok-kurser-och-program/st211g-1.411704" TargetMode="External"/><Relationship Id="rId10" Type="http://schemas.openxmlformats.org/officeDocument/2006/relationships/hyperlink" Target="https://www.su.se/medarbetare/organisation-styrning/styrdokument-regelboken/utbildning/regler-f&#246;r-salstentamen-1.513161" TargetMode="External"/><Relationship Id="rId11" Type="http://schemas.openxmlformats.org/officeDocument/2006/relationships/hyperlink" Target="https://www.su.se/medarbetare/organisation-styrning/styrdokument-regelboken/utbildning/regler-och-handl&#228;ggningsordning-f&#246;r-disciplin&#228;renden-1.605869"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99FE4-A4C4-4A75-80C7-261E2DFED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LibreOffice/7.3.4.2$Linux_X86_64 LibreOffice_project/30$Build-2</Application>
  <AppVersion>15.0000</AppVersion>
  <Pages>10</Pages>
  <Words>3383</Words>
  <Characters>21059</Characters>
  <CharactersWithSpaces>24157</CharactersWithSpaces>
  <Paragraphs>329</Paragraphs>
  <Company>Ericsson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2022-01-27T09:40:00Z</dcterms:created>
  <dc:creator>Hans Nyquist</dc:creator>
  <dc:description/>
  <dc:language>en-US</dc:language>
  <cp:lastModifiedBy/>
  <cp:lastPrinted>2022-01-26T12:05:00Z</cp:lastPrinted>
  <dcterms:modified xsi:type="dcterms:W3CDTF">2022-12-19T11:45:02Z</dcterms:modified>
  <cp:revision>14</cp:revision>
  <dc:subject/>
  <dc:title>STOCKHOLMS UNIVERSITET</dc:title>
</cp:coreProperties>
</file>

<file path=docProps/custom.xml><?xml version="1.0" encoding="utf-8"?>
<Properties xmlns="http://schemas.openxmlformats.org/officeDocument/2006/custom-properties" xmlns:vt="http://schemas.openxmlformats.org/officeDocument/2006/docPropsVTypes"/>
</file>