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00467F"/>
          <w:sz w:val="32"/>
        </w:rPr>
        <w:t>STA296U</w:t>
      </w:r>
    </w:p>
    <w:p>
      <w:pPr>
        <w:spacing w:after="20"/>
        <w:jc w:val="center"/>
      </w:pPr>
      <w:r>
        <w:rPr>
          <w:rFonts w:ascii="Aptos Display" w:hAnsi="Aptos Display"/>
          <w:b/>
          <w:color w:val="00467F"/>
          <w:sz w:val="40"/>
        </w:rPr>
        <w:t>Section 11: Inferences Based on Two Samples</w:t>
      </w:r>
    </w:p>
    <w:p>
      <w:pPr>
        <w:spacing w:after="40"/>
        <w:jc w:val="center"/>
      </w:pPr>
      <w:r>
        <w:rPr>
          <w:b/>
          <w:color w:val="E7A614"/>
          <w:sz w:val="22"/>
        </w:rPr>
        <w:t>NOTES</w:t>
      </w:r>
    </w:p>
    <w:tbl>
      <w:tblPr>
        <w:tblW w:type="auto" w:w="0"/>
        <w:tblLook w:firstColumn="1" w:firstRow="1" w:lastColumn="0" w:lastRow="0" w:noHBand="0" w:noVBand="1" w:val="04A0"/>
      </w:tblPr>
      <w:tblGrid>
        <w:gridCol w:w="9994"/>
      </w:tblGrid>
      <w:tr>
        <w:tc>
          <w:tcPr>
            <w:tcW w:type="dxa" w:w="9994"/>
            <w:shd w:fill="E7A614"/>
          </w:tcPr>
          <w:p>
            <w:pPr>
              <w:spacing w:after="0"/>
            </w:pPr>
          </w:p>
        </w:tc>
      </w:tr>
    </w:tbl>
    <w:p>
      <w:pPr>
        <w:pStyle w:val="Heading1"/>
        <w:spacing w:before="180" w:after="100"/>
      </w:pPr>
      <w:r>
        <w:t>Comparison of Two Population Means: μ1 and μ2</w:t>
      </w:r>
    </w:p>
    <w:p>
      <w:pPr>
        <w:spacing w:after="100"/>
      </w:pPr>
      <w:r>
        <w:rPr>
          <w:b w:val="0"/>
          <w:i w:val="0"/>
        </w:rPr>
        <w:t>The method of comparison depends on the design of the experiment</w:t>
      </w:r>
    </w:p>
    <w:p>
      <w:pPr>
        <w:spacing w:after="100"/>
      </w:pPr>
      <w:r>
        <w:rPr>
          <w:b w:val="0"/>
          <w:i w:val="0"/>
        </w:rPr>
        <w:t>The samples will either be Independent or Dependent</w:t>
      </w:r>
    </w:p>
    <w:tbl>
      <w:tblPr>
        <w:tblW w:type="auto" w:w="0"/>
        <w:jc w:val="center"/>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Independent Samples</w:t>
            </w:r>
            <w:r>
              <w:t xml:space="preserve"> – implies data values obtained from one sample are unrelated to the values from the other sample</w:t>
            </w:r>
          </w:p>
        </w:tc>
      </w:tr>
    </w:tbl>
    <w:p>
      <w:pPr>
        <w:spacing w:after="0"/>
      </w:pPr>
    </w:p>
    <w:p>
      <w:pPr>
        <w:spacing w:after="100"/>
      </w:pPr>
      <w:r>
        <w:rPr>
          <w:b/>
          <w:i w:val="0"/>
        </w:rPr>
        <w:t>Example</w:t>
      </w:r>
    </w:p>
    <w:p>
      <w:pPr>
        <w:pStyle w:val="ListBullet"/>
      </w:pPr>
      <w:r>
        <w:t>Does a drug work? → Randomly assign patients in medical trials.</w:t>
      </w:r>
    </w:p>
    <w:p>
      <w:pPr>
        <w:pStyle w:val="ListBullet"/>
      </w:pPr>
      <w:r>
        <w:t>Which teaching method is better? → Randomly assign students to teaching methods.</w:t>
      </w:r>
    </w:p>
    <w:tbl>
      <w:tblPr>
        <w:tblW w:type="auto" w:w="0"/>
        <w:jc w:val="center"/>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Dependent Samples (also called paired samples)</w:t>
            </w:r>
            <w:r>
              <w:t xml:space="preserve"> – implies subjects are paired so that they are as much alike as possible within each pair</w:t>
            </w:r>
          </w:p>
        </w:tc>
      </w:tr>
    </w:tbl>
    <w:p>
      <w:pPr>
        <w:spacing w:after="0"/>
      </w:pPr>
    </w:p>
    <w:p>
      <w:pPr>
        <w:spacing w:after="100"/>
      </w:pPr>
      <w:r>
        <w:rPr>
          <w:b w:val="0"/>
          <w:i w:val="0"/>
        </w:rPr>
        <w:t>The purpose of pairing is to explain subject to subject variability. (In some studies we apply both treatments to the same subject)</w:t>
      </w:r>
    </w:p>
    <w:p>
      <w:pPr>
        <w:spacing w:after="100"/>
      </w:pPr>
      <w:r>
        <w:rPr>
          <w:b/>
          <w:i w:val="0"/>
        </w:rPr>
        <w:t>Example</w:t>
      </w:r>
    </w:p>
    <w:p>
      <w:pPr>
        <w:pStyle w:val="ListBullet"/>
      </w:pPr>
      <w:r>
        <w:t>Do Nike or Adidas shoes make you jump higher? → Each subject can jump in both shoes. Randomly assign which shoe they use first.</w:t>
      </w:r>
    </w:p>
    <w:p>
      <w:pPr>
        <w:pStyle w:val="ListBullet"/>
      </w:pPr>
      <w:r>
        <w:t>Does this drug work in weight loss? → Pair subjects so they are as much alike as possible. Randomly assign one person from each pair to take the drug and the other to take placebo.</w:t>
      </w:r>
    </w:p>
    <w:tbl>
      <w:tblPr>
        <w:tblW w:type="auto" w:w="0"/>
        <w:tblLook w:firstColumn="1" w:firstRow="1" w:lastColumn="0" w:lastRow="0" w:noHBand="0" w:noVBand="1" w:val="04A0"/>
      </w:tblPr>
      <w:tblGrid>
        <w:gridCol w:w="9994"/>
      </w:tblGrid>
      <w:tr>
        <w:tc>
          <w:tcPr>
            <w:tcW w:type="dxa" w:w="9994"/>
            <w:shd w:fill="FFF8E7"/>
            <w:tcBorders>
              <w:left w:val="single" w:sz="28" w:color="E7A614"/>
            </w:tcBorders>
          </w:tcPr>
          <w:p>
            <w:pPr>
              <w:spacing w:after="0"/>
            </w:pPr>
            <w:r>
              <w:t>If subject to subject variability is large relative to the expected treatment differences then a dependent sample design should be considered. Remember that reducing the variability will reduce the error in the study.</w:t>
            </w:r>
          </w:p>
        </w:tc>
      </w:tr>
    </w:tbl>
    <w:p>
      <w:pPr>
        <w:spacing w:after="0"/>
      </w:pPr>
    </w:p>
    <w:p>
      <w:pPr>
        <w:pStyle w:val="Heading1"/>
        <w:spacing w:before="180" w:after="100"/>
      </w:pPr>
      <w:r>
        <w:t>Hypothesis Test and Confidence Interval for Dependent Samples</w:t>
      </w:r>
    </w:p>
    <w:p>
      <w:pPr>
        <w:spacing w:after="100"/>
      </w:pPr>
      <w:r>
        <w:rPr>
          <w:b w:val="0"/>
          <w:i w:val="0"/>
        </w:rPr>
        <w:t>Do not focus too much on the notation, but it is important to have a basic understanding. Essentially, a subscript is added to the notation we are familiar with in order to identify the treatment group. Also, with dependent sample we will deal with the differences for each pair which is denoted by d.</w:t>
      </w:r>
    </w:p>
    <w:tbl>
      <w:tblPr>
        <w:tblW w:type="auto" w:w="0"/>
        <w:jc w:val="center"/>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n</w:t>
            </w:r>
            <w:r>
              <w:t xml:space="preserve"> – number of pairs (sample size)</w:t>
            </w:r>
          </w:p>
        </w:tc>
      </w:tr>
    </w:tbl>
    <w:p>
      <w:pPr>
        <w:spacing w:after="0"/>
      </w:pPr>
    </w:p>
    <w:tbl>
      <w:tblPr>
        <w:tblW w:type="auto" w:w="0"/>
        <w:jc w:val="center"/>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xij</w:t>
            </w:r>
            <w:r>
              <w:t xml:space="preserve"> – observation for treatment i in pair j</w:t>
            </w:r>
          </w:p>
        </w:tc>
      </w:tr>
    </w:tbl>
    <w:p>
      <w:pPr>
        <w:spacing w:after="0"/>
      </w:pPr>
    </w:p>
    <w:tbl>
      <w:tblPr>
        <w:tblW w:type="auto" w:w="0"/>
        <w:jc w:val="center"/>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dj = x1j − x2j</w:t>
            </w:r>
            <w:r>
              <w:t xml:space="preserve"> – difference between treatment 1 and treatment 2 in pair j</w:t>
            </w:r>
          </w:p>
        </w:tc>
      </w:tr>
    </w:tbl>
    <w:p>
      <w:pPr>
        <w:spacing w:after="0"/>
      </w:pPr>
    </w:p>
    <w:p>
      <w:pPr>
        <w:spacing w:after="100"/>
      </w:pPr>
      <w:r>
        <w:rPr>
          <w:b w:val="0"/>
          <w:i w:val="0"/>
        </w:rPr>
        <w:t>The table below identifies the proper notation and layout when dealing with dependent samples. At the bottom of the table, you will see how the descriptive statistics are denoted. You should pay special attention to the notation for the d values since this is the part of the data set we actually analyze.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1296"/>
            <w:vAlign w:val="center"/>
            <w:shd w:fill="F2F7FB"/>
          </w:tcPr>
          <w:p>
            <w:pPr>
              <w:spacing w:after="0"/>
              <w:jc w:val="center"/>
            </w:pPr>
            <w:r>
              <w:rPr>
                <w:b/>
                <w:color w:val="00467F"/>
                <w:sz w:val="17"/>
              </w:rPr>
              <w:t>Pair</w:t>
            </w:r>
          </w:p>
        </w:tc>
        <w:tc>
          <w:tcPr>
            <w:tcW w:type="dxa" w:w="2016"/>
            <w:vAlign w:val="center"/>
            <w:shd w:fill="F2F7FB"/>
          </w:tcPr>
          <w:p>
            <w:pPr>
              <w:spacing w:after="0"/>
              <w:jc w:val="center"/>
            </w:pPr>
            <w:r>
              <w:rPr>
                <w:b/>
                <w:color w:val="00467F"/>
                <w:sz w:val="17"/>
              </w:rPr>
              <w:t>Treatment 1</w:t>
            </w:r>
          </w:p>
        </w:tc>
        <w:tc>
          <w:tcPr>
            <w:tcW w:type="dxa" w:w="2016"/>
            <w:vAlign w:val="center"/>
            <w:shd w:fill="F2F7FB"/>
          </w:tcPr>
          <w:p>
            <w:pPr>
              <w:spacing w:after="0"/>
              <w:jc w:val="center"/>
            </w:pPr>
            <w:r>
              <w:rPr>
                <w:b/>
                <w:color w:val="00467F"/>
                <w:sz w:val="17"/>
              </w:rPr>
              <w:t>Treatment 2</w:t>
            </w:r>
          </w:p>
        </w:tc>
        <w:tc>
          <w:tcPr>
            <w:tcW w:type="dxa" w:w="3168"/>
            <w:vAlign w:val="center"/>
            <w:shd w:fill="F2F7FB"/>
          </w:tcPr>
          <w:p>
            <w:pPr>
              <w:spacing w:after="0"/>
              <w:jc w:val="center"/>
            </w:pPr>
            <w:r>
              <w:rPr>
                <w:b/>
                <w:color w:val="00467F"/>
                <w:sz w:val="17"/>
              </w:rPr>
              <w:t>Difference</w:t>
            </w:r>
          </w:p>
        </w:tc>
      </w:tr>
      <w:tr>
        <w:tc>
          <w:tcPr>
            <w:tcW w:type="dxa" w:w="1296"/>
            <w:vAlign w:val="center"/>
          </w:tcPr>
          <w:p>
            <w:pPr>
              <w:spacing w:after="0"/>
              <w:jc w:val="center"/>
            </w:pPr>
            <w:r>
              <w:rPr>
                <w:sz w:val="17"/>
              </w:rPr>
              <w:t>1</w:t>
            </w:r>
          </w:p>
        </w:tc>
        <w:tc>
          <w:tcPr>
            <w:tcW w:type="dxa" w:w="2016"/>
            <w:vAlign w:val="center"/>
          </w:tcPr>
          <w:p>
            <w:pPr>
              <w:spacing w:after="0"/>
              <w:jc w:val="center"/>
            </w:pPr>
            <w:r>
              <w:rPr>
                <w:sz w:val="17"/>
              </w:rPr>
              <w:t>x11</w:t>
            </w:r>
          </w:p>
        </w:tc>
        <w:tc>
          <w:tcPr>
            <w:tcW w:type="dxa" w:w="2016"/>
            <w:vAlign w:val="center"/>
          </w:tcPr>
          <w:p>
            <w:pPr>
              <w:spacing w:after="0"/>
              <w:jc w:val="center"/>
            </w:pPr>
            <w:r>
              <w:rPr>
                <w:sz w:val="17"/>
              </w:rPr>
              <w:t>x21</w:t>
            </w:r>
          </w:p>
        </w:tc>
        <w:tc>
          <w:tcPr>
            <w:tcW w:type="dxa" w:w="3168"/>
            <w:vAlign w:val="center"/>
          </w:tcPr>
          <w:p>
            <w:pPr>
              <w:spacing w:after="0"/>
              <w:jc w:val="center"/>
            </w:pPr>
            <w:r>
              <w:rPr>
                <w:sz w:val="17"/>
              </w:rPr>
              <w:t>d1 = x11 − x21</w:t>
            </w:r>
          </w:p>
        </w:tc>
      </w:tr>
      <w:tr>
        <w:tc>
          <w:tcPr>
            <w:tcW w:type="dxa" w:w="1296"/>
            <w:vAlign w:val="center"/>
          </w:tcPr>
          <w:p>
            <w:pPr>
              <w:spacing w:after="0"/>
              <w:jc w:val="center"/>
            </w:pPr>
            <w:r>
              <w:rPr>
                <w:sz w:val="17"/>
              </w:rPr>
              <w:t>2</w:t>
            </w:r>
          </w:p>
        </w:tc>
        <w:tc>
          <w:tcPr>
            <w:tcW w:type="dxa" w:w="2016"/>
            <w:vAlign w:val="center"/>
          </w:tcPr>
          <w:p>
            <w:pPr>
              <w:spacing w:after="0"/>
              <w:jc w:val="center"/>
            </w:pPr>
            <w:r>
              <w:rPr>
                <w:sz w:val="17"/>
              </w:rPr>
              <w:t>x12</w:t>
            </w:r>
          </w:p>
        </w:tc>
        <w:tc>
          <w:tcPr>
            <w:tcW w:type="dxa" w:w="2016"/>
            <w:vAlign w:val="center"/>
          </w:tcPr>
          <w:p>
            <w:pPr>
              <w:spacing w:after="0"/>
              <w:jc w:val="center"/>
            </w:pPr>
            <w:r>
              <w:rPr>
                <w:sz w:val="17"/>
              </w:rPr>
              <w:t>x22</w:t>
            </w:r>
          </w:p>
        </w:tc>
        <w:tc>
          <w:tcPr>
            <w:tcW w:type="dxa" w:w="3168"/>
            <w:vAlign w:val="center"/>
          </w:tcPr>
          <w:p>
            <w:pPr>
              <w:spacing w:after="0"/>
              <w:jc w:val="center"/>
            </w:pPr>
            <w:r>
              <w:rPr>
                <w:sz w:val="17"/>
              </w:rPr>
              <w:t>d2 = x12 − x22</w:t>
            </w:r>
          </w:p>
        </w:tc>
      </w:tr>
      <w:tr>
        <w:tc>
          <w:tcPr>
            <w:tcW w:type="dxa" w:w="1296"/>
            <w:vAlign w:val="center"/>
          </w:tcPr>
          <w:p>
            <w:pPr>
              <w:spacing w:after="0"/>
              <w:jc w:val="center"/>
            </w:pPr>
            <w:r>
              <w:rPr>
                <w:sz w:val="17"/>
              </w:rPr>
              <w:t>3</w:t>
            </w:r>
          </w:p>
        </w:tc>
        <w:tc>
          <w:tcPr>
            <w:tcW w:type="dxa" w:w="2016"/>
            <w:vAlign w:val="center"/>
          </w:tcPr>
          <w:p>
            <w:pPr>
              <w:spacing w:after="0"/>
              <w:jc w:val="center"/>
            </w:pPr>
            <w:r>
              <w:rPr>
                <w:sz w:val="17"/>
              </w:rPr>
              <w:t>x13</w:t>
            </w:r>
          </w:p>
        </w:tc>
        <w:tc>
          <w:tcPr>
            <w:tcW w:type="dxa" w:w="2016"/>
            <w:vAlign w:val="center"/>
          </w:tcPr>
          <w:p>
            <w:pPr>
              <w:spacing w:after="0"/>
              <w:jc w:val="center"/>
            </w:pPr>
            <w:r>
              <w:rPr>
                <w:sz w:val="17"/>
              </w:rPr>
              <w:t>x23</w:t>
            </w:r>
          </w:p>
        </w:tc>
        <w:tc>
          <w:tcPr>
            <w:tcW w:type="dxa" w:w="3168"/>
            <w:vAlign w:val="center"/>
          </w:tcPr>
          <w:p>
            <w:pPr>
              <w:spacing w:after="0"/>
              <w:jc w:val="center"/>
            </w:pPr>
            <w:r>
              <w:rPr>
                <w:sz w:val="17"/>
              </w:rPr>
              <w:t>d3 = x13 − x23</w:t>
            </w:r>
          </w:p>
        </w:tc>
      </w:tr>
      <w:tr>
        <w:tc>
          <w:tcPr>
            <w:tcW w:type="dxa" w:w="1296"/>
            <w:vAlign w:val="center"/>
          </w:tcPr>
          <w:p>
            <w:pPr>
              <w:spacing w:after="0"/>
              <w:jc w:val="center"/>
            </w:pPr>
            <w:r>
              <w:rPr>
                <w:sz w:val="17"/>
              </w:rPr>
              <w:t>⋮</w:t>
            </w:r>
          </w:p>
        </w:tc>
        <w:tc>
          <w:tcPr>
            <w:tcW w:type="dxa" w:w="2016"/>
            <w:vAlign w:val="center"/>
          </w:tcPr>
          <w:p>
            <w:pPr>
              <w:spacing w:after="0"/>
              <w:jc w:val="center"/>
            </w:pPr>
            <w:r>
              <w:rPr>
                <w:sz w:val="17"/>
              </w:rPr>
              <w:t>⋮</w:t>
            </w:r>
          </w:p>
        </w:tc>
        <w:tc>
          <w:tcPr>
            <w:tcW w:type="dxa" w:w="2016"/>
            <w:vAlign w:val="center"/>
          </w:tcPr>
          <w:p>
            <w:pPr>
              <w:spacing w:after="0"/>
              <w:jc w:val="center"/>
            </w:pPr>
            <w:r>
              <w:rPr>
                <w:sz w:val="17"/>
              </w:rPr>
              <w:t>⋮</w:t>
            </w:r>
          </w:p>
        </w:tc>
        <w:tc>
          <w:tcPr>
            <w:tcW w:type="dxa" w:w="3168"/>
            <w:vAlign w:val="center"/>
          </w:tcPr>
          <w:p>
            <w:pPr>
              <w:spacing w:after="0"/>
              <w:jc w:val="center"/>
            </w:pPr>
            <w:r>
              <w:rPr>
                <w:sz w:val="17"/>
              </w:rPr>
              <w:t>⋮</w:t>
            </w:r>
          </w:p>
        </w:tc>
      </w:tr>
      <w:tr>
        <w:tc>
          <w:tcPr>
            <w:tcW w:type="dxa" w:w="1296"/>
            <w:vAlign w:val="center"/>
          </w:tcPr>
          <w:p>
            <w:pPr>
              <w:spacing w:after="0"/>
              <w:jc w:val="center"/>
            </w:pPr>
            <w:r>
              <w:rPr>
                <w:sz w:val="17"/>
              </w:rPr>
              <w:t>n</w:t>
            </w:r>
          </w:p>
        </w:tc>
        <w:tc>
          <w:tcPr>
            <w:tcW w:type="dxa" w:w="2016"/>
            <w:vAlign w:val="center"/>
          </w:tcPr>
          <w:p>
            <w:pPr>
              <w:spacing w:after="0"/>
              <w:jc w:val="center"/>
            </w:pPr>
            <w:r>
              <w:rPr>
                <w:sz w:val="17"/>
              </w:rPr>
              <w:t>x1n</w:t>
            </w:r>
          </w:p>
        </w:tc>
        <w:tc>
          <w:tcPr>
            <w:tcW w:type="dxa" w:w="2016"/>
            <w:vAlign w:val="center"/>
          </w:tcPr>
          <w:p>
            <w:pPr>
              <w:spacing w:after="0"/>
              <w:jc w:val="center"/>
            </w:pPr>
            <w:r>
              <w:rPr>
                <w:sz w:val="17"/>
              </w:rPr>
              <w:t>x2n</w:t>
            </w:r>
          </w:p>
        </w:tc>
        <w:tc>
          <w:tcPr>
            <w:tcW w:type="dxa" w:w="3168"/>
            <w:vAlign w:val="center"/>
          </w:tcPr>
          <w:p>
            <w:pPr>
              <w:spacing w:after="0"/>
              <w:jc w:val="center"/>
            </w:pPr>
            <w:r>
              <w:rPr>
                <w:sz w:val="17"/>
              </w:rPr>
              <w:t>dn = x1n − x2n</w:t>
            </w:r>
          </w:p>
        </w:tc>
      </w:tr>
      <w:tr>
        <w:tc>
          <w:tcPr>
            <w:tcW w:type="dxa" w:w="1296"/>
            <w:vAlign w:val="center"/>
          </w:tcPr>
          <w:p>
            <w:pPr>
              <w:spacing w:after="0"/>
              <w:jc w:val="center"/>
            </w:pPr>
            <w:r>
              <w:rPr>
                <w:sz w:val="17"/>
              </w:rPr>
              <w:t>Sample Mean</w:t>
            </w:r>
          </w:p>
        </w:tc>
        <w:tc>
          <w:tcPr>
            <w:tcW w:type="dxa" w:w="2016"/>
            <w:vAlign w:val="center"/>
          </w:tcPr>
          <w:p>
            <w:pPr>
              <w:spacing w:after="0"/>
              <w:jc w:val="center"/>
            </w:pPr>
            <w:r>
              <w:rPr>
                <w:sz w:val="17"/>
              </w:rPr>
              <w:t>x̄1</w:t>
            </w:r>
          </w:p>
        </w:tc>
        <w:tc>
          <w:tcPr>
            <w:tcW w:type="dxa" w:w="2016"/>
            <w:vAlign w:val="center"/>
          </w:tcPr>
          <w:p>
            <w:pPr>
              <w:spacing w:after="0"/>
              <w:jc w:val="center"/>
            </w:pPr>
            <w:r>
              <w:rPr>
                <w:sz w:val="17"/>
              </w:rPr>
              <w:t>x̄2</w:t>
            </w:r>
          </w:p>
        </w:tc>
        <w:tc>
          <w:tcPr>
            <w:tcW w:type="dxa" w:w="3168"/>
            <w:vAlign w:val="center"/>
          </w:tcPr>
          <w:p>
            <w:pPr>
              <w:spacing w:after="0"/>
              <w:jc w:val="center"/>
            </w:pPr>
            <w:r>
              <w:rPr>
                <w:sz w:val="17"/>
              </w:rPr>
              <w:t>d̄ = x̄1 − x̄2</w:t>
            </w:r>
          </w:p>
        </w:tc>
      </w:tr>
      <w:tr>
        <w:tc>
          <w:tcPr>
            <w:tcW w:type="dxa" w:w="1296"/>
            <w:vAlign w:val="center"/>
          </w:tcPr>
          <w:p>
            <w:pPr>
              <w:spacing w:after="0"/>
              <w:jc w:val="center"/>
            </w:pPr>
            <w:r>
              <w:rPr>
                <w:sz w:val="17"/>
              </w:rPr>
              <w:t>Sample Variance</w:t>
            </w:r>
          </w:p>
        </w:tc>
        <w:tc>
          <w:tcPr>
            <w:tcW w:type="dxa" w:w="2016"/>
            <w:vAlign w:val="center"/>
          </w:tcPr>
          <w:p>
            <w:pPr>
              <w:spacing w:after="0"/>
              <w:jc w:val="center"/>
            </w:pPr>
            <w:r>
              <w:rPr>
                <w:sz w:val="17"/>
              </w:rPr>
              <w:t>s1²</w:t>
            </w:r>
          </w:p>
        </w:tc>
        <w:tc>
          <w:tcPr>
            <w:tcW w:type="dxa" w:w="2016"/>
            <w:vAlign w:val="center"/>
          </w:tcPr>
          <w:p>
            <w:pPr>
              <w:spacing w:after="0"/>
              <w:jc w:val="center"/>
            </w:pPr>
            <w:r>
              <w:rPr>
                <w:sz w:val="17"/>
              </w:rPr>
              <w:t>s2²</w:t>
            </w:r>
          </w:p>
        </w:tc>
        <w:tc>
          <w:tcPr>
            <w:tcW w:type="dxa" w:w="3168"/>
            <w:vAlign w:val="center"/>
          </w:tcPr>
          <w:p>
            <w:pPr>
              <w:spacing w:after="0"/>
              <w:jc w:val="center"/>
            </w:pPr>
            <w:r>
              <w:rPr>
                <w:sz w:val="17"/>
              </w:rPr>
              <w:t>sd²</w:t>
            </w:r>
          </w:p>
        </w:tc>
      </w:tr>
      <w:tr>
        <w:tc>
          <w:tcPr>
            <w:tcW w:type="dxa" w:w="1296"/>
            <w:vAlign w:val="center"/>
          </w:tcPr>
          <w:p>
            <w:pPr>
              <w:spacing w:after="0"/>
              <w:jc w:val="center"/>
            </w:pPr>
            <w:r>
              <w:rPr>
                <w:sz w:val="17"/>
              </w:rPr>
              <w:t>Sample Standard Deviation</w:t>
            </w:r>
          </w:p>
        </w:tc>
        <w:tc>
          <w:tcPr>
            <w:tcW w:type="dxa" w:w="2016"/>
            <w:vAlign w:val="center"/>
          </w:tcPr>
          <w:p>
            <w:pPr>
              <w:spacing w:after="0"/>
              <w:jc w:val="center"/>
            </w:pPr>
            <w:r>
              <w:rPr>
                <w:sz w:val="17"/>
              </w:rPr>
              <w:t>s1</w:t>
            </w:r>
          </w:p>
        </w:tc>
        <w:tc>
          <w:tcPr>
            <w:tcW w:type="dxa" w:w="2016"/>
            <w:vAlign w:val="center"/>
          </w:tcPr>
          <w:p>
            <w:pPr>
              <w:spacing w:after="0"/>
              <w:jc w:val="center"/>
            </w:pPr>
            <w:r>
              <w:rPr>
                <w:sz w:val="17"/>
              </w:rPr>
              <w:t>s2</w:t>
            </w:r>
          </w:p>
        </w:tc>
        <w:tc>
          <w:tcPr>
            <w:tcW w:type="dxa" w:w="3168"/>
            <w:vAlign w:val="center"/>
          </w:tcPr>
          <w:p>
            <w:pPr>
              <w:spacing w:after="0"/>
              <w:jc w:val="center"/>
            </w:pPr>
            <w:r>
              <w:rPr>
                <w:sz w:val="17"/>
              </w:rPr>
              <w:t>sd</w:t>
            </w:r>
          </w:p>
        </w:tc>
      </w:tr>
    </w:tbl>
    <w:p>
      <w:pPr>
        <w:spacing w:after="100"/>
      </w:pPr>
      <w:r>
        <w:rPr>
          <w:b w:val="0"/>
          <w:i w:val="0"/>
        </w:rPr>
        <w:t>For a dependent sample design all analysis is based on the differences: d1, d2, d3, ⋯ , dn. The differences are a sample from a distribution with mean μd = μ1 − μ2 and unknown variance σd². The point Estimate for μd is d̄ (just like x̄ is the point estimate for μ).</w:t>
      </w:r>
    </w:p>
    <w:p>
      <w:pPr>
        <w:spacing w:after="100"/>
      </w:pPr>
      <w:r>
        <w:rPr>
          <w:b w:val="0"/>
          <w:i w:val="0"/>
        </w:rPr>
        <w:t>Because of this setup, we can conduct hypothesis tests and confidence intervals in the same way as was done with a single sample except now we are using d values instead of x values. Below are the needed formulas. If you compare these to what was done with a single sample, you should see that we are basically doing the same thing.</w:t>
      </w:r>
    </w:p>
    <w:p>
      <w:pPr>
        <w:spacing w:after="100"/>
      </w:pPr>
      <w:r>
        <w:rPr>
          <w:b w:val="0"/>
          <w:i w:val="0"/>
        </w:rPr>
        <w:t>The test statistic for dependent samples is</w:t>
      </w:r>
    </w:p>
    <w:p>
      <w:pPr>
        <w:pStyle w:val="FirstParagraph"/>
        <w:jc w:val="center"/>
        <w:spacing w:before="40" w:after="60"/>
      </w:pPr>
      <m:oMathPara>
        <m:oMathParaPr>
          <m:jc m:val="center"/>
        </m:oMathParaPr>
        <m:oMath>
          <m:r>
            <m:t>t</m:t>
          </m:r>
          <m:r>
            <m:rPr>
              <m:sty m:val="p"/>
            </m:rPr>
            <m:t>=</m:t>
          </m:r>
          <m:f>
            <m:fPr>
              <m:type m:val="bar"/>
            </m:fPr>
            <m:num>
              <m:acc>
                <m:accPr>
                  <m:chr m:val="‾"/>
                </m:accPr>
                <m:e>
                  <m:r>
                    <m:t>d</m:t>
                  </m:r>
                </m:e>
              </m:acc>
              <m:r>
                <m:rPr>
                  <m:sty m:val="p"/>
                </m:rPr>
                <m:t>−</m:t>
              </m:r>
              <m:sSub>
                <m:e>
                  <m:r>
                    <m:t>μ</m:t>
                  </m:r>
                </m:e>
                <m:sub>
                  <m:r>
                    <m:t>d</m:t>
                  </m:r>
                </m:sub>
              </m:sSub>
            </m:num>
            <m:den>
              <m:sSub>
                <m:e>
                  <m:r>
                    <m:t>s</m:t>
                  </m:r>
                </m:e>
                <m:sub>
                  <m:r>
                    <m:t>d</m:t>
                  </m:r>
                </m:sub>
              </m:sSub>
              <m:r>
                <m:rPr>
                  <m:sty m:val="p"/>
                </m:rPr>
                <m:t>/</m:t>
              </m:r>
              <m:rad>
                <m:radPr>
                  <m:degHide m:val="on"/>
                </m:radPr>
                <m:deg/>
                <m:e>
                  <m:r>
                    <m:t>n</m:t>
                  </m:r>
                </m:e>
              </m:rad>
            </m:den>
          </m:f>
        </m:oMath>
      </m:oMathPara>
    </w:p>
    <w:p>
      <w:pPr>
        <w:spacing w:after="100"/>
      </w:pPr>
      <w:r>
        <w:rPr>
          <w:b w:val="0"/>
          <w:i w:val="0"/>
        </w:rPr>
        <w:t>with n − 1 degrees of freedom.</w:t>
      </w:r>
    </w:p>
    <w:p>
      <w:pPr>
        <w:spacing w:after="100"/>
      </w:pPr>
      <w:r>
        <w:rPr>
          <w:b w:val="0"/>
          <w:i w:val="0"/>
        </w:rPr>
        <w:t>Therefore, to calculate a confidence interval we take d̄ ± E with</w:t>
      </w:r>
    </w:p>
    <w:p>
      <w:pPr>
        <w:pStyle w:val="FirstParagraph"/>
        <w:jc w:val="center"/>
        <w:spacing w:before="40" w:after="60"/>
      </w:pPr>
      <m:oMathPara>
        <m:oMathParaPr>
          <m:jc m:val="center"/>
        </m:oMathParaPr>
        <m:oMath>
          <m:r>
            <m:t>E</m:t>
          </m:r>
          <m:r>
            <m:rPr>
              <m:sty m:val="p"/>
            </m:rPr>
            <m:t>=</m:t>
          </m:r>
          <m:r>
            <m:t>t</m:t>
          </m:r>
          <m:d>
            <m:dPr>
              <m:begChr m:val="("/>
              <m:endChr m:val=")"/>
              <m:sepChr m:val=""/>
              <m:grow/>
            </m:dPr>
            <m:e>
              <m:f>
                <m:fPr>
                  <m:type m:val="bar"/>
                </m:fPr>
                <m:num>
                  <m:sSub>
                    <m:e>
                      <m:r>
                        <m:t>s</m:t>
                      </m:r>
                    </m:e>
                    <m:sub>
                      <m:r>
                        <m:t>d</m:t>
                      </m:r>
                    </m:sub>
                  </m:sSub>
                </m:num>
                <m:den>
                  <m:rad>
                    <m:radPr>
                      <m:degHide m:val="on"/>
                    </m:radPr>
                    <m:deg/>
                    <m:e>
                      <m:r>
                        <m:t>n</m:t>
                      </m:r>
                    </m:e>
                  </m:rad>
                </m:den>
              </m:f>
            </m:e>
          </m:d>
        </m:oMath>
      </m:oMathPara>
    </w:p>
    <w:p>
      <w:pPr>
        <w:spacing w:after="100"/>
      </w:pPr>
      <w:r>
        <w:rPr>
          <w:b w:val="0"/>
          <w:i w:val="0"/>
        </w:rPr>
        <w:t>Another thing to keep in mind is the relationship between μ1 and μ2 when conducting inferential statistics on μd. Since μd = μ1 − μ2 we know the following.</w:t>
      </w:r>
    </w:p>
    <w:p>
      <w:pPr>
        <w:pStyle w:val="ListBullet"/>
      </w:pPr>
      <w:r>
        <w:t>If μd &gt; 0, then μ1 &gt; μ2.</w:t>
      </w:r>
    </w:p>
    <w:p>
      <w:pPr>
        <w:pStyle w:val="ListBullet"/>
      </w:pPr>
      <w:r>
        <w:t>If μd &lt; 0, then μ1 &lt; μ2.</w:t>
      </w:r>
    </w:p>
    <w:p>
      <w:pPr>
        <w:pStyle w:val="ListBullet"/>
      </w:pPr>
      <w:r>
        <w:t>If μd ≠ 0, then μ1 ≠ μ2.</w:t>
      </w:r>
    </w:p>
    <w:tbl>
      <w:tblPr>
        <w:tblW w:type="auto" w:w="0"/>
        <w:tblLook w:firstColumn="1" w:firstRow="1" w:lastColumn="0" w:lastRow="0" w:noHBand="0" w:noVBand="1" w:val="04A0"/>
      </w:tblPr>
      <w:tblGrid>
        <w:gridCol w:w="9994"/>
      </w:tblGrid>
      <w:tr>
        <w:trPr>
          <w:cantSplit/>
        </w:trPr>
        <w:tc>
          <w:tcPr>
            <w:tcW w:type="dxa" w:w="9994"/>
            <w:tcBorders>
              <w:top w:val="single" w:sz="22" w:color="E7A614"/>
              <w:left w:val="single" w:sz="8" w:color="D7DEE5"/>
              <w:right w:val="single" w:sz="8" w:color="D7DEE5"/>
              <w:bottom w:val="single" w:sz="8" w:color="D7DEE5"/>
            </w:tcBorders>
          </w:tcPr>
          <w:p>
            <w:pPr>
              <w:spacing w:after="60"/>
            </w:pPr>
            <w:r>
              <w:rPr>
                <w:b/>
                <w:color w:val="00467F"/>
              </w:rPr>
              <w:t>Example</w:t>
            </w:r>
          </w:p>
          <w:p>
            <w:pPr>
              <w:spacing w:after="80"/>
            </w:pPr>
            <w:r>
              <w:rPr>
                <w:b w:val="0"/>
              </w:rPr>
              <w:t>A marketing expert wishes to prove that a new product display will increase sales over a traditional display. There are 12 stores available for the study. There is considerable variability from store to store so a dependent sample design will be used. The stores are divided into six pairs such that within each pair the stores are as alike as possible. The measurement will be the number of cases sold in a one month period. Using the data that follow, perform a hypothesis test using α = .05.</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1008"/>
                  <w:vAlign w:val="center"/>
                  <w:shd w:fill="F2F7FB"/>
                </w:tcPr>
                <w:p>
                  <w:pPr>
                    <w:spacing w:after="0"/>
                    <w:jc w:val="center"/>
                  </w:pPr>
                  <w:r>
                    <w:rPr>
                      <w:b/>
                      <w:color w:val="00467F"/>
                      <w:sz w:val="17"/>
                    </w:rPr>
                    <w:t>Pair</w:t>
                  </w:r>
                </w:p>
              </w:tc>
              <w:tc>
                <w:tcPr>
                  <w:tcW w:type="dxa" w:w="2160"/>
                  <w:vAlign w:val="center"/>
                  <w:shd w:fill="F2F7FB"/>
                </w:tcPr>
                <w:p>
                  <w:pPr>
                    <w:spacing w:after="0"/>
                    <w:jc w:val="center"/>
                  </w:pPr>
                  <w:r>
                    <w:rPr>
                      <w:b/>
                      <w:color w:val="00467F"/>
                      <w:sz w:val="17"/>
                    </w:rPr>
                    <w:t>New Display</w:t>
                    <w:br/>
                    <w:t>Treatment 1</w:t>
                  </w:r>
                </w:p>
              </w:tc>
              <w:tc>
                <w:tcPr>
                  <w:tcW w:type="dxa" w:w="2448"/>
                  <w:vAlign w:val="center"/>
                  <w:shd w:fill="F2F7FB"/>
                </w:tcPr>
                <w:p>
                  <w:pPr>
                    <w:spacing w:after="0"/>
                    <w:jc w:val="center"/>
                  </w:pPr>
                  <w:r>
                    <w:rPr>
                      <w:b/>
                      <w:color w:val="00467F"/>
                      <w:sz w:val="17"/>
                    </w:rPr>
                    <w:t>Traditional Display</w:t>
                    <w:br/>
                    <w:t>Treatment 2</w:t>
                  </w:r>
                </w:p>
              </w:tc>
              <w:tc>
                <w:tcPr>
                  <w:tcW w:type="dxa" w:w="1728"/>
                  <w:vAlign w:val="center"/>
                  <w:shd w:fill="F2F7FB"/>
                </w:tcPr>
                <w:p>
                  <w:pPr>
                    <w:spacing w:after="0"/>
                    <w:jc w:val="center"/>
                  </w:pPr>
                  <w:r>
                    <w:rPr>
                      <w:b/>
                      <w:color w:val="00467F"/>
                      <w:sz w:val="17"/>
                    </w:rPr>
                    <w:t>Difference</w:t>
                  </w:r>
                </w:p>
              </w:tc>
            </w:tr>
            <w:tr>
              <w:tc>
                <w:tcPr>
                  <w:tcW w:type="dxa" w:w="1008"/>
                  <w:vAlign w:val="center"/>
                </w:tcPr>
                <w:p>
                  <w:pPr>
                    <w:spacing w:after="0"/>
                    <w:jc w:val="center"/>
                  </w:pPr>
                  <w:r>
                    <w:rPr>
                      <w:sz w:val="17"/>
                    </w:rPr>
                    <w:t>1</w:t>
                  </w:r>
                </w:p>
              </w:tc>
              <w:tc>
                <w:tcPr>
                  <w:tcW w:type="dxa" w:w="2160"/>
                  <w:vAlign w:val="center"/>
                </w:tcPr>
                <w:p>
                  <w:pPr>
                    <w:spacing w:after="0"/>
                    <w:jc w:val="center"/>
                  </w:pPr>
                  <w:r>
                    <w:rPr>
                      <w:sz w:val="17"/>
                    </w:rPr>
                    <w:t>13</w:t>
                  </w:r>
                </w:p>
              </w:tc>
              <w:tc>
                <w:tcPr>
                  <w:tcW w:type="dxa" w:w="2448"/>
                  <w:vAlign w:val="center"/>
                </w:tcPr>
                <w:p>
                  <w:pPr>
                    <w:spacing w:after="0"/>
                    <w:jc w:val="center"/>
                  </w:pPr>
                  <w:r>
                    <w:rPr>
                      <w:sz w:val="17"/>
                    </w:rPr>
                    <w:t>11</w:t>
                  </w:r>
                </w:p>
              </w:tc>
              <w:tc>
                <w:tcPr>
                  <w:tcW w:type="dxa" w:w="1728"/>
                  <w:vAlign w:val="center"/>
                </w:tcPr>
                <w:p>
                  <w:pPr>
                    <w:spacing w:after="0"/>
                    <w:jc w:val="center"/>
                  </w:pPr>
                  <w:r>
                    <w:rPr>
                      <w:sz w:val="17"/>
                    </w:rPr>
                    <w:t>2</w:t>
                  </w:r>
                </w:p>
              </w:tc>
            </w:tr>
            <w:tr>
              <w:tc>
                <w:tcPr>
                  <w:tcW w:type="dxa" w:w="1008"/>
                  <w:vAlign w:val="center"/>
                </w:tcPr>
                <w:p>
                  <w:pPr>
                    <w:spacing w:after="0"/>
                    <w:jc w:val="center"/>
                  </w:pPr>
                  <w:r>
                    <w:rPr>
                      <w:sz w:val="17"/>
                    </w:rPr>
                    <w:t>2</w:t>
                  </w:r>
                </w:p>
              </w:tc>
              <w:tc>
                <w:tcPr>
                  <w:tcW w:type="dxa" w:w="2160"/>
                  <w:vAlign w:val="center"/>
                </w:tcPr>
                <w:p>
                  <w:pPr>
                    <w:spacing w:after="0"/>
                    <w:jc w:val="center"/>
                  </w:pPr>
                  <w:r>
                    <w:rPr>
                      <w:sz w:val="17"/>
                    </w:rPr>
                    <w:t>31</w:t>
                  </w:r>
                </w:p>
              </w:tc>
              <w:tc>
                <w:tcPr>
                  <w:tcW w:type="dxa" w:w="2448"/>
                  <w:vAlign w:val="center"/>
                </w:tcPr>
                <w:p>
                  <w:pPr>
                    <w:spacing w:after="0"/>
                    <w:jc w:val="center"/>
                  </w:pPr>
                  <w:r>
                    <w:rPr>
                      <w:sz w:val="17"/>
                    </w:rPr>
                    <w:t>29</w:t>
                  </w:r>
                </w:p>
              </w:tc>
              <w:tc>
                <w:tcPr>
                  <w:tcW w:type="dxa" w:w="1728"/>
                  <w:vAlign w:val="center"/>
                </w:tcPr>
                <w:p>
                  <w:pPr>
                    <w:spacing w:after="0"/>
                    <w:jc w:val="center"/>
                  </w:pPr>
                  <w:r>
                    <w:rPr>
                      <w:sz w:val="17"/>
                    </w:rPr>
                    <w:t>2</w:t>
                  </w:r>
                </w:p>
              </w:tc>
            </w:tr>
            <w:tr>
              <w:tc>
                <w:tcPr>
                  <w:tcW w:type="dxa" w:w="1008"/>
                  <w:vAlign w:val="center"/>
                </w:tcPr>
                <w:p>
                  <w:pPr>
                    <w:spacing w:after="0"/>
                    <w:jc w:val="center"/>
                  </w:pPr>
                  <w:r>
                    <w:rPr>
                      <w:sz w:val="17"/>
                    </w:rPr>
                    <w:t>3</w:t>
                  </w:r>
                </w:p>
              </w:tc>
              <w:tc>
                <w:tcPr>
                  <w:tcW w:type="dxa" w:w="2160"/>
                  <w:vAlign w:val="center"/>
                </w:tcPr>
                <w:p>
                  <w:pPr>
                    <w:spacing w:after="0"/>
                    <w:jc w:val="center"/>
                  </w:pPr>
                  <w:r>
                    <w:rPr>
                      <w:sz w:val="17"/>
                    </w:rPr>
                    <w:t>20</w:t>
                  </w:r>
                </w:p>
              </w:tc>
              <w:tc>
                <w:tcPr>
                  <w:tcW w:type="dxa" w:w="2448"/>
                  <w:vAlign w:val="center"/>
                </w:tcPr>
                <w:p>
                  <w:pPr>
                    <w:spacing w:after="0"/>
                    <w:jc w:val="center"/>
                  </w:pPr>
                  <w:r>
                    <w:rPr>
                      <w:sz w:val="17"/>
                    </w:rPr>
                    <w:t>21</w:t>
                  </w:r>
                </w:p>
              </w:tc>
              <w:tc>
                <w:tcPr>
                  <w:tcW w:type="dxa" w:w="1728"/>
                  <w:vAlign w:val="center"/>
                </w:tcPr>
                <w:p>
                  <w:pPr>
                    <w:spacing w:after="0"/>
                    <w:jc w:val="center"/>
                  </w:pPr>
                  <w:r>
                    <w:rPr>
                      <w:sz w:val="17"/>
                    </w:rPr>
                    <w:t>-1</w:t>
                  </w:r>
                </w:p>
              </w:tc>
            </w:tr>
            <w:tr>
              <w:tc>
                <w:tcPr>
                  <w:tcW w:type="dxa" w:w="1008"/>
                  <w:vAlign w:val="center"/>
                </w:tcPr>
                <w:p>
                  <w:pPr>
                    <w:spacing w:after="0"/>
                    <w:jc w:val="center"/>
                  </w:pPr>
                  <w:r>
                    <w:rPr>
                      <w:sz w:val="17"/>
                    </w:rPr>
                    <w:t>4</w:t>
                  </w:r>
                </w:p>
              </w:tc>
              <w:tc>
                <w:tcPr>
                  <w:tcW w:type="dxa" w:w="2160"/>
                  <w:vAlign w:val="center"/>
                </w:tcPr>
                <w:p>
                  <w:pPr>
                    <w:spacing w:after="0"/>
                    <w:jc w:val="center"/>
                  </w:pPr>
                  <w:r>
                    <w:rPr>
                      <w:sz w:val="17"/>
                    </w:rPr>
                    <w:t>19</w:t>
                  </w:r>
                </w:p>
              </w:tc>
              <w:tc>
                <w:tcPr>
                  <w:tcW w:type="dxa" w:w="2448"/>
                  <w:vAlign w:val="center"/>
                </w:tcPr>
                <w:p>
                  <w:pPr>
                    <w:spacing w:after="0"/>
                    <w:jc w:val="center"/>
                  </w:pPr>
                  <w:r>
                    <w:rPr>
                      <w:sz w:val="17"/>
                    </w:rPr>
                    <w:t>17</w:t>
                  </w:r>
                </w:p>
              </w:tc>
              <w:tc>
                <w:tcPr>
                  <w:tcW w:type="dxa" w:w="1728"/>
                  <w:vAlign w:val="center"/>
                </w:tcPr>
                <w:p>
                  <w:pPr>
                    <w:spacing w:after="0"/>
                    <w:jc w:val="center"/>
                  </w:pPr>
                  <w:r>
                    <w:rPr>
                      <w:sz w:val="17"/>
                    </w:rPr>
                    <w:t>2</w:t>
                  </w:r>
                </w:p>
              </w:tc>
            </w:tr>
            <w:tr>
              <w:tc>
                <w:tcPr>
                  <w:tcW w:type="dxa" w:w="1008"/>
                  <w:vAlign w:val="center"/>
                </w:tcPr>
                <w:p>
                  <w:pPr>
                    <w:spacing w:after="0"/>
                    <w:jc w:val="center"/>
                  </w:pPr>
                  <w:r>
                    <w:rPr>
                      <w:sz w:val="17"/>
                    </w:rPr>
                    <w:t>5</w:t>
                  </w:r>
                </w:p>
              </w:tc>
              <w:tc>
                <w:tcPr>
                  <w:tcW w:type="dxa" w:w="2160"/>
                  <w:vAlign w:val="center"/>
                </w:tcPr>
                <w:p>
                  <w:pPr>
                    <w:spacing w:after="0"/>
                    <w:jc w:val="center"/>
                  </w:pPr>
                  <w:r>
                    <w:rPr>
                      <w:sz w:val="17"/>
                    </w:rPr>
                    <w:t>42</w:t>
                  </w:r>
                </w:p>
              </w:tc>
              <w:tc>
                <w:tcPr>
                  <w:tcW w:type="dxa" w:w="2448"/>
                  <w:vAlign w:val="center"/>
                </w:tcPr>
                <w:p>
                  <w:pPr>
                    <w:spacing w:after="0"/>
                    <w:jc w:val="center"/>
                  </w:pPr>
                  <w:r>
                    <w:rPr>
                      <w:sz w:val="17"/>
                    </w:rPr>
                    <w:t>39</w:t>
                  </w:r>
                </w:p>
              </w:tc>
              <w:tc>
                <w:tcPr>
                  <w:tcW w:type="dxa" w:w="1728"/>
                  <w:vAlign w:val="center"/>
                </w:tcPr>
                <w:p>
                  <w:pPr>
                    <w:spacing w:after="0"/>
                    <w:jc w:val="center"/>
                  </w:pPr>
                  <w:r>
                    <w:rPr>
                      <w:sz w:val="17"/>
                    </w:rPr>
                    <w:t>3</w:t>
                  </w:r>
                </w:p>
              </w:tc>
            </w:tr>
            <w:tr>
              <w:tc>
                <w:tcPr>
                  <w:tcW w:type="dxa" w:w="1008"/>
                  <w:vAlign w:val="center"/>
                </w:tcPr>
                <w:p>
                  <w:pPr>
                    <w:spacing w:after="0"/>
                    <w:jc w:val="center"/>
                  </w:pPr>
                  <w:r>
                    <w:rPr>
                      <w:sz w:val="17"/>
                    </w:rPr>
                    <w:t>6</w:t>
                  </w:r>
                </w:p>
              </w:tc>
              <w:tc>
                <w:tcPr>
                  <w:tcW w:type="dxa" w:w="2160"/>
                  <w:vAlign w:val="center"/>
                </w:tcPr>
                <w:p>
                  <w:pPr>
                    <w:spacing w:after="0"/>
                    <w:jc w:val="center"/>
                  </w:pPr>
                  <w:r>
                    <w:rPr>
                      <w:sz w:val="17"/>
                    </w:rPr>
                    <w:t>26</w:t>
                  </w:r>
                </w:p>
              </w:tc>
              <w:tc>
                <w:tcPr>
                  <w:tcW w:type="dxa" w:w="2448"/>
                  <w:vAlign w:val="center"/>
                </w:tcPr>
                <w:p>
                  <w:pPr>
                    <w:spacing w:after="0"/>
                    <w:jc w:val="center"/>
                  </w:pPr>
                  <w:r>
                    <w:rPr>
                      <w:sz w:val="17"/>
                    </w:rPr>
                    <w:t>22</w:t>
                  </w:r>
                </w:p>
              </w:tc>
              <w:tc>
                <w:tcPr>
                  <w:tcW w:type="dxa" w:w="1728"/>
                  <w:vAlign w:val="center"/>
                </w:tcPr>
                <w:p>
                  <w:pPr>
                    <w:spacing w:after="0"/>
                    <w:jc w:val="center"/>
                  </w:pPr>
                  <w:r>
                    <w:rPr>
                      <w:sz w:val="17"/>
                    </w:rPr>
                    <w:t>4</w:t>
                  </w:r>
                </w:p>
              </w:tc>
            </w:tr>
          </w:tbl>
          <w:p/>
          <w:p>
            <w:pPr>
              <w:spacing w:after="80"/>
            </w:pPr>
            <w:r>
              <w:rPr>
                <w:b w:val="0"/>
              </w:rPr>
              <w:t>Sample Mean d̄ = 2</w:t>
            </w:r>
          </w:p>
          <w:p>
            <w:pPr>
              <w:spacing w:after="80"/>
            </w:pPr>
            <w:r>
              <w:rPr>
                <w:b w:val="0"/>
              </w:rPr>
              <w:t>Sample Variance sd² = 2.8</w:t>
            </w:r>
          </w:p>
          <w:p>
            <w:pPr>
              <w:spacing w:after="80"/>
            </w:pPr>
            <w:r>
              <w:rPr>
                <w:b w:val="0"/>
              </w:rPr>
              <w:t>Sample Standard Deviation sd = 1.6733</w:t>
            </w:r>
          </w:p>
          <w:p>
            <w:pPr>
              <w:spacing w:before="140" w:after="80"/>
            </w:pPr>
            <w:r>
              <w:rPr>
                <w:b/>
                <w:color w:val="00467F"/>
              </w:rPr>
              <w:t>Solution</w:t>
            </w:r>
          </w:p>
          <w:p>
            <w:pPr>
              <w:spacing w:after="80"/>
            </w:pPr>
            <w:r>
              <w:rPr>
                <w:b w:val="0"/>
              </w:rPr>
              <w:t>1) Ha: μd &gt; 0 (Remember this is the same as testing μ1 &gt; μ2)</w:t>
            </w:r>
          </w:p>
          <w:p>
            <w:pPr>
              <w:spacing w:after="80"/>
            </w:pPr>
            <w:r>
              <w:rPr>
                <w:b w:val="0"/>
              </w:rPr>
              <w:t>H0: μd ≤ 0</w:t>
            </w:r>
          </w:p>
          <w:p>
            <w:pPr>
              <w:spacing w:after="80"/>
            </w:pPr>
            <w:r>
              <w:rPr>
                <w:b w:val="0"/>
              </w:rPr>
              <w:t>2) This is a t since we are doing a hypothesis test for μd with a dependent sample design. The critical region depends on Ha (since we are testing &gt;, the critical region is to the right) and α (the area is α). Remember that degrees of freedom is n − 1.</w:t>
            </w:r>
          </w:p>
          <w:p>
            <w:pPr>
              <w:spacing w:after="80"/>
            </w:pPr>
            <w:r>
              <w:rPr>
                <w:b/>
              </w:rPr>
              <w:t>Reject H0 if t ≥ 2.015</w:t>
            </w:r>
          </w:p>
          <w:p>
            <w:pPr>
              <w:spacing w:after="80"/>
            </w:pPr>
            <w:r>
              <w:rPr>
                <w:b w:val="0"/>
              </w:rPr>
              <w:t>3)</w:t>
            </w:r>
          </w:p>
          <w:p>
            <w:pPr>
              <w:pStyle w:val="FirstParagraph"/>
              <w:jc w:val="center"/>
              <w:spacing w:before="40" w:after="60"/>
            </w:pPr>
            <m:oMathPara>
              <m:oMathParaPr>
                <m:jc m:val="center"/>
              </m:oMathParaPr>
              <m:oMath>
                <m:r>
                  <m:t>t</m:t>
                </m:r>
                <m:r>
                  <m:rPr>
                    <m:sty m:val="p"/>
                  </m:rPr>
                  <m:t>=</m:t>
                </m:r>
                <m:f>
                  <m:fPr>
                    <m:type m:val="bar"/>
                  </m:fPr>
                  <m:num>
                    <m:r>
                      <m:t>2</m:t>
                    </m:r>
                    <m:r>
                      <m:rPr>
                        <m:sty m:val="p"/>
                      </m:rPr>
                      <m:t>−</m:t>
                    </m:r>
                    <m:r>
                      <m:t>0</m:t>
                    </m:r>
                  </m:num>
                  <m:den>
                    <m:r>
                      <m:t>1.6733</m:t>
                    </m:r>
                    <m:r>
                      <m:rPr>
                        <m:sty m:val="p"/>
                      </m:rPr>
                      <m:t>/</m:t>
                    </m:r>
                    <m:rad>
                      <m:radPr>
                        <m:degHide m:val="on"/>
                      </m:radPr>
                      <m:deg/>
                      <m:e>
                        <m:r>
                          <m:t>6</m:t>
                        </m:r>
                      </m:e>
                    </m:rad>
                  </m:den>
                </m:f>
                <m:r>
                  <m:rPr>
                    <m:sty m:val="p"/>
                  </m:rPr>
                  <m:t>=</m:t>
                </m:r>
                <m:r>
                  <m:t>2.928</m:t>
                </m:r>
              </m:oMath>
            </m:oMathPara>
          </w:p>
          <w:p>
            <w:pPr>
              <w:spacing w:after="80"/>
            </w:pPr>
            <w:r>
              <w:rPr>
                <w:b w:val="0"/>
              </w:rPr>
              <w:t>4) Reject H0 (since 2.928 ≥ 2.015, the test statistic is in the critical region)</w:t>
            </w:r>
          </w:p>
          <w:p>
            <w:pPr>
              <w:spacing w:after="80"/>
            </w:pPr>
            <w:r>
              <w:rPr>
                <w:b w:val="0"/>
              </w:rPr>
              <w:t>5) Conclude with 95% confidence that the new method produces larger sales.</w:t>
            </w:r>
          </w:p>
        </w:tc>
      </w:tr>
    </w:tbl>
    <w:tbl>
      <w:tblPr>
        <w:tblW w:type="auto" w:w="0"/>
        <w:tblLook w:firstColumn="1" w:firstRow="1" w:lastColumn="0" w:lastRow="0" w:noHBand="0" w:noVBand="1" w:val="04A0"/>
      </w:tblPr>
      <w:tblGrid>
        <w:gridCol w:w="9994"/>
      </w:tblGrid>
      <w:tr>
        <w:trPr>
          <w:cantSplit/>
        </w:trPr>
        <w:tc>
          <w:tcPr>
            <w:tcW w:type="dxa" w:w="9994"/>
            <w:tcBorders>
              <w:top w:val="single" w:sz="22" w:color="E7A614"/>
              <w:left w:val="single" w:sz="8" w:color="D7DEE5"/>
              <w:right w:val="single" w:sz="8" w:color="D7DEE5"/>
              <w:bottom w:val="single" w:sz="8" w:color="D7DEE5"/>
            </w:tcBorders>
          </w:tcPr>
          <w:p>
            <w:pPr>
              <w:spacing w:after="60"/>
            </w:pPr>
            <w:r>
              <w:rPr>
                <w:b/>
                <w:color w:val="00467F"/>
              </w:rPr>
              <w:t>Example</w:t>
            </w:r>
          </w:p>
          <w:p>
            <w:pPr>
              <w:spacing w:after="80"/>
            </w:pPr>
            <w:r>
              <w:rPr>
                <w:b w:val="0"/>
              </w:rPr>
              <w:t>Use the sales data presented in the previous example to construct and interpret a 95% confidence interval for μd.</w:t>
            </w:r>
          </w:p>
          <w:p>
            <w:pPr>
              <w:spacing w:before="140" w:after="80"/>
            </w:pPr>
            <w:r>
              <w:rPr>
                <w:b/>
                <w:color w:val="00467F"/>
              </w:rPr>
              <w:t>Solution</w:t>
            </w:r>
          </w:p>
          <w:p>
            <w:pPr>
              <w:pStyle w:val="FirstParagraph"/>
              <w:jc w:val="center"/>
              <w:spacing w:before="40" w:after="60"/>
            </w:pPr>
            <m:oMathPara>
              <m:oMathParaPr>
                <m:jc m:val="center"/>
              </m:oMathParaPr>
              <m:oMath>
                <m:r>
                  <m:t>E</m:t>
                </m:r>
                <m:r>
                  <m:rPr>
                    <m:sty m:val="p"/>
                  </m:rPr>
                  <m:t>=</m:t>
                </m:r>
                <m:r>
                  <m:t>2.571</m:t>
                </m:r>
                <m:d>
                  <m:dPr>
                    <m:begChr m:val="("/>
                    <m:endChr m:val=")"/>
                    <m:sepChr m:val=""/>
                    <m:grow/>
                  </m:dPr>
                  <m:e>
                    <m:f>
                      <m:fPr>
                        <m:type m:val="bar"/>
                      </m:fPr>
                      <m:num>
                        <m:r>
                          <m:t>1.6733</m:t>
                        </m:r>
                      </m:num>
                      <m:den>
                        <m:rad>
                          <m:radPr>
                            <m:degHide m:val="on"/>
                          </m:radPr>
                          <m:deg/>
                          <m:e>
                            <m:r>
                              <m:t>6</m:t>
                            </m:r>
                          </m:e>
                        </m:rad>
                      </m:den>
                    </m:f>
                  </m:e>
                </m:d>
                <m:r>
                  <m:rPr>
                    <m:sty m:val="p"/>
                  </m:rPr>
                  <m:t>=</m:t>
                </m:r>
                <m:r>
                  <m:t>1.756</m:t>
                </m:r>
              </m:oMath>
            </m:oMathPara>
          </w:p>
          <w:p>
            <w:pPr>
              <w:pStyle w:val="FirstParagraph"/>
              <w:jc w:val="center"/>
              <w:spacing w:before="40" w:after="60"/>
            </w:pPr>
            <m:oMathPara>
              <m:oMathParaPr>
                <m:jc m:val="center"/>
              </m:oMathParaPr>
              <m:oMath>
                <m:acc>
                  <m:accPr>
                    <m:chr m:val="‾"/>
                  </m:accPr>
                  <m:e>
                    <m:r>
                      <m:t>d</m:t>
                    </m:r>
                  </m:e>
                </m:acc>
                <m:r>
                  <m:rPr>
                    <m:sty m:val="p"/>
                  </m:rPr>
                  <m:t>±</m:t>
                </m:r>
                <m:r>
                  <m:t>E</m:t>
                </m:r>
              </m:oMath>
            </m:oMathPara>
          </w:p>
          <w:p>
            <w:pPr>
              <w:pStyle w:val="FirstParagraph"/>
              <w:jc w:val="center"/>
              <w:spacing w:before="40" w:after="60"/>
            </w:pPr>
            <m:oMathPara>
              <m:oMathParaPr>
                <m:jc m:val="center"/>
              </m:oMathParaPr>
              <m:oMath>
                <m:r>
                  <m:t>2</m:t>
                </m:r>
                <m:r>
                  <m:rPr>
                    <m:sty m:val="p"/>
                  </m:rPr>
                  <m:t>±</m:t>
                </m:r>
                <m:r>
                  <m:t>1.756</m:t>
                </m:r>
              </m:oMath>
            </m:oMathPara>
          </w:p>
          <w:p>
            <w:pPr>
              <w:pStyle w:val="FirstParagraph"/>
              <w:jc w:val="center"/>
              <w:spacing w:before="40" w:after="60"/>
            </w:pPr>
            <m:oMathPara>
              <m:oMathParaPr>
                <m:jc m:val="center"/>
              </m:oMathParaPr>
              <m:oMath>
                <m:d>
                  <m:dPr>
                    <m:begChr m:val="("/>
                    <m:endChr m:val=")"/>
                    <m:sepChr m:val=""/>
                    <m:grow/>
                  </m:dPr>
                  <m:e>
                    <m:r>
                      <m:t>0.244</m:t>
                    </m:r>
                    <m:r>
                      <m:rPr>
                        <m:sty m:val="p"/>
                      </m:rPr>
                      <m:t>,</m:t>
                    </m:r>
                    <m:r>
                      <m:t> </m:t>
                    </m:r>
                    <m:r>
                      <m:t>3.756</m:t>
                    </m:r>
                  </m:e>
                </m:d>
              </m:oMath>
            </m:oMathPara>
          </w:p>
          <w:p>
            <w:pPr>
              <w:spacing w:after="80"/>
            </w:pPr>
            <w:r>
              <w:rPr>
                <w:b w:val="0"/>
              </w:rPr>
              <w:t>We are 95% confident that the mean increase in sales is between 0.244 cases and 3.756 cases using the new product display.</w:t>
            </w:r>
          </w:p>
        </w:tc>
      </w:tr>
    </w:tbl>
    <w:p>
      <w:pPr>
        <w:pStyle w:val="Heading1"/>
        <w:spacing w:before="180" w:after="100"/>
      </w:pPr>
      <w:r>
        <w:t>Hypothesis Test and Confidence Interval for Independent Samples</w:t>
      </w:r>
    </w:p>
    <w:p>
      <w:pPr>
        <w:spacing w:after="100"/>
      </w:pPr>
      <w:r>
        <w:rPr>
          <w:b w:val="0"/>
          <w:i w:val="0"/>
        </w:rPr>
        <w:t>With independent samples we cannot calculate d values since the samples are not paired. The process is still similar to the dependent case, but calculations are more cumbersome without the convenience of the d values. For independent samples we will estimate the parameter μ1 − μ2.</w:t>
      </w:r>
    </w:p>
    <w:p>
      <w:pPr>
        <w:spacing w:after="100"/>
      </w:pPr>
      <w:r>
        <w:rPr>
          <w:b w:val="0"/>
          <w:i w:val="0"/>
        </w:rPr>
        <w:t>The table below identifies the proper notation for two independent samples.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2448"/>
            <w:vAlign w:val="center"/>
            <w:shd w:fill="F2F7FB"/>
          </w:tcPr>
          <w:p>
            <w:pPr>
              <w:spacing w:after="0"/>
              <w:jc w:val="center"/>
            </w:pPr>
            <w:r>
              <w:rPr>
                <w:b/>
                <w:color w:val="00467F"/>
                <w:sz w:val="17"/>
              </w:rPr>
            </w:r>
          </w:p>
        </w:tc>
        <w:tc>
          <w:tcPr>
            <w:tcW w:type="dxa" w:w="3168"/>
            <w:vAlign w:val="center"/>
            <w:shd w:fill="F2F7FB"/>
          </w:tcPr>
          <w:p>
            <w:pPr>
              <w:spacing w:after="0"/>
              <w:jc w:val="center"/>
            </w:pPr>
            <w:r>
              <w:rPr>
                <w:b/>
                <w:color w:val="00467F"/>
                <w:sz w:val="17"/>
              </w:rPr>
              <w:t>Treatment 1</w:t>
            </w:r>
          </w:p>
        </w:tc>
        <w:tc>
          <w:tcPr>
            <w:tcW w:type="dxa" w:w="3168"/>
            <w:vAlign w:val="center"/>
            <w:shd w:fill="F2F7FB"/>
          </w:tcPr>
          <w:p>
            <w:pPr>
              <w:spacing w:after="0"/>
              <w:jc w:val="center"/>
            </w:pPr>
            <w:r>
              <w:rPr>
                <w:b/>
                <w:color w:val="00467F"/>
                <w:sz w:val="17"/>
              </w:rPr>
              <w:t>Treatment 2</w:t>
            </w:r>
          </w:p>
        </w:tc>
      </w:tr>
      <w:tr>
        <w:tc>
          <w:tcPr>
            <w:tcW w:type="dxa" w:w="2448"/>
            <w:vAlign w:val="center"/>
          </w:tcPr>
          <w:p>
            <w:pPr>
              <w:spacing w:after="0"/>
              <w:jc w:val="center"/>
            </w:pPr>
            <w:r>
              <w:rPr>
                <w:sz w:val="17"/>
              </w:rPr>
              <w:t>Sample Size</w:t>
            </w:r>
          </w:p>
        </w:tc>
        <w:tc>
          <w:tcPr>
            <w:tcW w:type="dxa" w:w="3168"/>
            <w:vAlign w:val="center"/>
          </w:tcPr>
          <w:p>
            <w:pPr>
              <w:spacing w:after="0"/>
              <w:jc w:val="center"/>
            </w:pPr>
            <w:r>
              <w:rPr>
                <w:sz w:val="17"/>
              </w:rPr>
              <w:t>n1</w:t>
            </w:r>
          </w:p>
        </w:tc>
        <w:tc>
          <w:tcPr>
            <w:tcW w:type="dxa" w:w="3168"/>
            <w:vAlign w:val="center"/>
          </w:tcPr>
          <w:p>
            <w:pPr>
              <w:spacing w:after="0"/>
              <w:jc w:val="center"/>
            </w:pPr>
            <w:r>
              <w:rPr>
                <w:sz w:val="17"/>
              </w:rPr>
              <w:t>n2</w:t>
            </w:r>
          </w:p>
        </w:tc>
      </w:tr>
      <w:tr>
        <w:tc>
          <w:tcPr>
            <w:tcW w:type="dxa" w:w="2448"/>
            <w:vAlign w:val="center"/>
          </w:tcPr>
          <w:p>
            <w:pPr>
              <w:spacing w:after="0"/>
              <w:jc w:val="center"/>
            </w:pPr>
            <w:r>
              <w:rPr>
                <w:sz w:val="17"/>
              </w:rPr>
              <w:t>Data</w:t>
            </w:r>
          </w:p>
        </w:tc>
        <w:tc>
          <w:tcPr>
            <w:tcW w:type="dxa" w:w="3168"/>
            <w:vAlign w:val="center"/>
          </w:tcPr>
          <w:p>
            <w:pPr>
              <w:spacing w:after="0"/>
              <w:jc w:val="center"/>
            </w:pPr>
            <w:r>
              <w:rPr>
                <w:sz w:val="17"/>
              </w:rPr>
              <w:t>x11, x12, x13, ⋯ x1n1</w:t>
            </w:r>
          </w:p>
        </w:tc>
        <w:tc>
          <w:tcPr>
            <w:tcW w:type="dxa" w:w="3168"/>
            <w:vAlign w:val="center"/>
          </w:tcPr>
          <w:p>
            <w:pPr>
              <w:spacing w:after="0"/>
              <w:jc w:val="center"/>
            </w:pPr>
            <w:r>
              <w:rPr>
                <w:sz w:val="17"/>
              </w:rPr>
              <w:t>x21, x22, x23, ⋯ x2n2</w:t>
            </w:r>
          </w:p>
        </w:tc>
      </w:tr>
      <w:tr>
        <w:tc>
          <w:tcPr>
            <w:tcW w:type="dxa" w:w="2448"/>
            <w:vAlign w:val="center"/>
          </w:tcPr>
          <w:p>
            <w:pPr>
              <w:spacing w:after="0"/>
              <w:jc w:val="center"/>
            </w:pPr>
            <w:r>
              <w:rPr>
                <w:sz w:val="17"/>
              </w:rPr>
              <w:t>Sample Mean</w:t>
            </w:r>
          </w:p>
        </w:tc>
        <w:tc>
          <w:tcPr>
            <w:tcW w:type="dxa" w:w="3168"/>
            <w:vAlign w:val="center"/>
          </w:tcPr>
          <w:p>
            <w:pPr>
              <w:spacing w:after="0"/>
              <w:jc w:val="center"/>
            </w:pPr>
            <w:r>
              <w:rPr>
                <w:sz w:val="17"/>
              </w:rPr>
              <w:t>x̄1</w:t>
            </w:r>
          </w:p>
        </w:tc>
        <w:tc>
          <w:tcPr>
            <w:tcW w:type="dxa" w:w="3168"/>
            <w:vAlign w:val="center"/>
          </w:tcPr>
          <w:p>
            <w:pPr>
              <w:spacing w:after="0"/>
              <w:jc w:val="center"/>
            </w:pPr>
            <w:r>
              <w:rPr>
                <w:sz w:val="17"/>
              </w:rPr>
              <w:t>x̄2</w:t>
            </w:r>
          </w:p>
        </w:tc>
      </w:tr>
      <w:tr>
        <w:tc>
          <w:tcPr>
            <w:tcW w:type="dxa" w:w="2448"/>
            <w:vAlign w:val="center"/>
          </w:tcPr>
          <w:p>
            <w:pPr>
              <w:spacing w:after="0"/>
              <w:jc w:val="center"/>
            </w:pPr>
            <w:r>
              <w:rPr>
                <w:sz w:val="17"/>
              </w:rPr>
              <w:t>Sample Variance</w:t>
            </w:r>
          </w:p>
        </w:tc>
        <w:tc>
          <w:tcPr>
            <w:tcW w:type="dxa" w:w="3168"/>
            <w:vAlign w:val="center"/>
          </w:tcPr>
          <w:p>
            <w:pPr>
              <w:spacing w:after="0"/>
              <w:jc w:val="center"/>
            </w:pPr>
            <w:r>
              <w:rPr>
                <w:sz w:val="17"/>
              </w:rPr>
              <w:t>s1²</w:t>
            </w:r>
          </w:p>
        </w:tc>
        <w:tc>
          <w:tcPr>
            <w:tcW w:type="dxa" w:w="3168"/>
            <w:vAlign w:val="center"/>
          </w:tcPr>
          <w:p>
            <w:pPr>
              <w:spacing w:after="0"/>
              <w:jc w:val="center"/>
            </w:pPr>
            <w:r>
              <w:rPr>
                <w:sz w:val="17"/>
              </w:rPr>
              <w:t>s2²</w:t>
            </w:r>
          </w:p>
        </w:tc>
      </w:tr>
      <w:tr>
        <w:tc>
          <w:tcPr>
            <w:tcW w:type="dxa" w:w="2448"/>
            <w:vAlign w:val="center"/>
          </w:tcPr>
          <w:p>
            <w:pPr>
              <w:spacing w:after="0"/>
              <w:jc w:val="center"/>
            </w:pPr>
            <w:r>
              <w:rPr>
                <w:sz w:val="17"/>
              </w:rPr>
              <w:t>Sample Standard Deviation</w:t>
            </w:r>
          </w:p>
        </w:tc>
        <w:tc>
          <w:tcPr>
            <w:tcW w:type="dxa" w:w="3168"/>
            <w:vAlign w:val="center"/>
          </w:tcPr>
          <w:p>
            <w:pPr>
              <w:spacing w:after="0"/>
              <w:jc w:val="center"/>
            </w:pPr>
            <w:r>
              <w:rPr>
                <w:sz w:val="17"/>
              </w:rPr>
              <w:t>s1</w:t>
            </w:r>
          </w:p>
        </w:tc>
        <w:tc>
          <w:tcPr>
            <w:tcW w:type="dxa" w:w="3168"/>
            <w:vAlign w:val="center"/>
          </w:tcPr>
          <w:p>
            <w:pPr>
              <w:spacing w:after="0"/>
              <w:jc w:val="center"/>
            </w:pPr>
            <w:r>
              <w:rPr>
                <w:sz w:val="17"/>
              </w:rPr>
              <w:t>s2</w:t>
            </w:r>
          </w:p>
        </w:tc>
      </w:tr>
    </w:tbl>
    <w:p>
      <w:pPr>
        <w:spacing w:after="100"/>
      </w:pPr>
      <w:r>
        <w:rPr>
          <w:b w:val="0"/>
          <w:i w:val="0"/>
        </w:rPr>
        <w:t>The quantity x̄1 − x̄2 is the point estimate for μ1 − μ2 with a standard error of</w:t>
      </w:r>
    </w:p>
    <w:p>
      <w:pPr>
        <w:pStyle w:val="FirstParagraph"/>
        <w:jc w:val="center"/>
        <w:spacing w:before="40" w:after="60"/>
      </w:pPr>
      <m:oMathPara>
        <m:oMathParaPr>
          <m:jc m:val="center"/>
        </m:oMathParaPr>
        <m:oMath>
          <m:rad>
            <m:radPr>
              <m:degHide m:val="on"/>
            </m:radPr>
            <m:deg/>
            <m:e>
              <m:f>
                <m:fPr>
                  <m:type m:val="bar"/>
                </m:fPr>
                <m:num>
                  <m:sSubSup>
                    <m:e>
                      <m:r>
                        <m:t>σ</m:t>
                      </m:r>
                    </m:e>
                    <m:sub>
                      <m:r>
                        <m:t>1</m:t>
                      </m:r>
                    </m:sub>
                    <m:sup>
                      <m:r>
                        <m:t>2</m:t>
                      </m:r>
                    </m:sup>
                  </m:sSubSup>
                </m:num>
                <m:den>
                  <m:sSub>
                    <m:e>
                      <m:r>
                        <m:t>n</m:t>
                      </m:r>
                    </m:e>
                    <m:sub>
                      <m:r>
                        <m:t>1</m:t>
                      </m:r>
                    </m:sub>
                  </m:sSub>
                </m:den>
              </m:f>
              <m:r>
                <m:rPr>
                  <m:sty m:val="p"/>
                </m:rPr>
                <m:t>+</m:t>
              </m:r>
              <m:f>
                <m:fPr>
                  <m:type m:val="bar"/>
                </m:fPr>
                <m:num>
                  <m:sSubSup>
                    <m:e>
                      <m:r>
                        <m:t>σ</m:t>
                      </m:r>
                    </m:e>
                    <m:sub>
                      <m:r>
                        <m:t>2</m:t>
                      </m:r>
                    </m:sub>
                    <m:sup>
                      <m:r>
                        <m:t>2</m:t>
                      </m:r>
                    </m:sup>
                  </m:sSubSup>
                </m:num>
                <m:den>
                  <m:sSub>
                    <m:e>
                      <m:r>
                        <m:t>n</m:t>
                      </m:r>
                    </m:e>
                    <m:sub>
                      <m:r>
                        <m:t>2</m:t>
                      </m:r>
                    </m:sub>
                  </m:sSub>
                </m:den>
              </m:f>
            </m:e>
          </m:rad>
        </m:oMath>
      </m:oMathPara>
    </w:p>
    <w:p>
      <w:pPr>
        <w:spacing w:after="100"/>
      </w:pPr>
      <w:r>
        <w:rPr>
          <w:b w:val="0"/>
          <w:i w:val="0"/>
        </w:rPr>
        <w:t>Thus, if we sample from populations with means μ1 and μ2, and standard deviations of σ1² and σ2² respectively, then</w:t>
      </w:r>
    </w:p>
    <w:p>
      <w:pPr>
        <w:pStyle w:val="FirstParagraph"/>
        <w:jc w:val="center"/>
        <w:spacing w:before="40" w:after="60"/>
      </w:pPr>
      <m:oMathPara>
        <m:oMathParaPr>
          <m:jc m:val="center"/>
        </m:oMathParaPr>
        <m:oMath>
          <m:r>
            <m:t>Z</m:t>
          </m:r>
          <m:r>
            <m:rPr>
              <m:sty m:val="p"/>
            </m:rPr>
            <m:t>=</m:t>
          </m:r>
          <m:f>
            <m:fPr>
              <m:type m:val="bar"/>
            </m:fPr>
            <m:num>
              <m:d>
                <m:dPr>
                  <m:begChr m:val="("/>
                  <m:endChr m:val=")"/>
                  <m:sepChr m:val=""/>
                  <m:grow/>
                </m:dPr>
                <m:e>
                  <m:sSub>
                    <m:e>
                      <m:acc>
                        <m:accPr>
                          <m:chr m:val="‾"/>
                        </m:accPr>
                        <m:e>
                          <m:r>
                            <m:t>x</m:t>
                          </m:r>
                        </m:e>
                      </m:acc>
                    </m:e>
                    <m:sub>
                      <m:r>
                        <m:t>1</m:t>
                      </m:r>
                    </m:sub>
                  </m:sSub>
                  <m:r>
                    <m:rPr>
                      <m:sty m:val="p"/>
                    </m:rPr>
                    <m:t>−</m:t>
                  </m:r>
                  <m:sSub>
                    <m:e>
                      <m:acc>
                        <m:accPr>
                          <m:chr m:val="‾"/>
                        </m:accPr>
                        <m:e>
                          <m:r>
                            <m:t>x</m:t>
                          </m:r>
                        </m:e>
                      </m:acc>
                    </m:e>
                    <m:sub>
                      <m:r>
                        <m:t>2</m:t>
                      </m:r>
                    </m:sub>
                  </m:sSub>
                </m:e>
              </m:d>
              <m:r>
                <m:rPr>
                  <m:sty m:val="p"/>
                </m:rPr>
                <m:t>−</m:t>
              </m:r>
              <m:d>
                <m:dPr>
                  <m:begChr m:val="("/>
                  <m:endChr m:val=")"/>
                  <m:sepChr m:val=""/>
                  <m:grow/>
                </m:dPr>
                <m:e>
                  <m:sSub>
                    <m:e>
                      <m:r>
                        <m:t>μ</m:t>
                      </m:r>
                    </m:e>
                    <m:sub>
                      <m:r>
                        <m:t>1</m:t>
                      </m:r>
                    </m:sub>
                  </m:sSub>
                  <m:r>
                    <m:rPr>
                      <m:sty m:val="p"/>
                    </m:rPr>
                    <m:t>−</m:t>
                  </m:r>
                  <m:sSub>
                    <m:e>
                      <m:r>
                        <m:t>μ</m:t>
                      </m:r>
                    </m:e>
                    <m:sub>
                      <m:r>
                        <m:t>2</m:t>
                      </m:r>
                    </m:sub>
                  </m:sSub>
                </m:e>
              </m:d>
            </m:num>
            <m:den>
              <m:rad>
                <m:radPr>
                  <m:degHide m:val="on"/>
                </m:radPr>
                <m:deg/>
                <m:e>
                  <m:sSubSup>
                    <m:e>
                      <m:r>
                        <m:t>σ</m:t>
                      </m:r>
                    </m:e>
                    <m:sub>
                      <m:r>
                        <m:t>1</m:t>
                      </m:r>
                    </m:sub>
                    <m:sup>
                      <m:r>
                        <m:t>2</m:t>
                      </m:r>
                    </m:sup>
                  </m:sSubSup>
                  <m:r>
                    <m:rPr>
                      <m:sty m:val="p"/>
                    </m:rPr>
                    <m:t>/</m:t>
                  </m:r>
                  <m:sSub>
                    <m:e>
                      <m:r>
                        <m:t>n</m:t>
                      </m:r>
                    </m:e>
                    <m:sub>
                      <m:r>
                        <m:t>1</m:t>
                      </m:r>
                    </m:sub>
                  </m:sSub>
                  <m:r>
                    <m:rPr>
                      <m:sty m:val="p"/>
                    </m:rPr>
                    <m:t>+</m:t>
                  </m:r>
                  <m:sSubSup>
                    <m:e>
                      <m:r>
                        <m:t>σ</m:t>
                      </m:r>
                    </m:e>
                    <m:sub>
                      <m:r>
                        <m:t>2</m:t>
                      </m:r>
                    </m:sub>
                    <m:sup>
                      <m:r>
                        <m:t>2</m:t>
                      </m:r>
                    </m:sup>
                  </m:sSubSup>
                  <m:r>
                    <m:rPr>
                      <m:sty m:val="p"/>
                    </m:rPr>
                    <m:t>/</m:t>
                  </m:r>
                  <m:sSub>
                    <m:e>
                      <m:r>
                        <m:t>n</m:t>
                      </m:r>
                    </m:e>
                    <m:sub>
                      <m:r>
                        <m:t>2</m:t>
                      </m:r>
                    </m:sub>
                  </m:sSub>
                </m:e>
              </m:rad>
            </m:den>
          </m:f>
        </m:oMath>
      </m:oMathPara>
    </w:p>
    <w:p>
      <w:pPr>
        <w:spacing w:after="100"/>
      </w:pPr>
      <w:r>
        <w:rPr>
          <w:b w:val="0"/>
          <w:i w:val="0"/>
        </w:rPr>
        <w:t>is approximately standard normal for large n1 and n2.</w:t>
      </w:r>
    </w:p>
    <w:p>
      <w:pPr>
        <w:spacing w:after="100"/>
      </w:pPr>
      <w:r>
        <w:rPr>
          <w:b w:val="0"/>
          <w:i w:val="0"/>
        </w:rPr>
        <w:t>As we should be accustomed to at this point, the issue with the above Z transformation is the fact we will not know σ1² and σ2² when estimating μ1 − μ2. Therefore, we must estimate σ1² and σ2² with the sample. The form of the test statistic depends on whether σ1² = σ2². For all of the problems we do in this class, we will assume σ1² = σ2².</w:t>
      </w:r>
    </w:p>
    <w:p>
      <w:pPr>
        <w:spacing w:after="100"/>
      </w:pPr>
      <w:r>
        <w:rPr>
          <w:b w:val="0"/>
          <w:i w:val="0"/>
        </w:rPr>
        <w:t>If we sample from populations with means μ1 and μ2, standard deviations of σ1² and σ2² respectively, and σ1² = σ2², then</w:t>
      </w:r>
    </w:p>
    <w:p>
      <w:pPr>
        <w:pStyle w:val="FirstParagraph"/>
        <w:jc w:val="center"/>
        <w:spacing w:before="40" w:after="60"/>
      </w:pPr>
      <m:oMathPara>
        <m:oMathParaPr>
          <m:jc m:val="center"/>
        </m:oMathParaPr>
        <m:oMath>
          <m:r>
            <m:t>t</m:t>
          </m:r>
          <m:r>
            <m:rPr>
              <m:sty m:val="p"/>
            </m:rPr>
            <m:t>=</m:t>
          </m:r>
          <m:f>
            <m:fPr>
              <m:type m:val="bar"/>
            </m:fPr>
            <m:num>
              <m:d>
                <m:dPr>
                  <m:begChr m:val="("/>
                  <m:endChr m:val=")"/>
                  <m:sepChr m:val=""/>
                  <m:grow/>
                </m:dPr>
                <m:e>
                  <m:sSub>
                    <m:e>
                      <m:acc>
                        <m:accPr>
                          <m:chr m:val="‾"/>
                        </m:accPr>
                        <m:e>
                          <m:r>
                            <m:t>x</m:t>
                          </m:r>
                        </m:e>
                      </m:acc>
                    </m:e>
                    <m:sub>
                      <m:r>
                        <m:t>1</m:t>
                      </m:r>
                    </m:sub>
                  </m:sSub>
                  <m:r>
                    <m:rPr>
                      <m:sty m:val="p"/>
                    </m:rPr>
                    <m:t>−</m:t>
                  </m:r>
                  <m:sSub>
                    <m:e>
                      <m:acc>
                        <m:accPr>
                          <m:chr m:val="‾"/>
                        </m:accPr>
                        <m:e>
                          <m:r>
                            <m:t>x</m:t>
                          </m:r>
                        </m:e>
                      </m:acc>
                    </m:e>
                    <m:sub>
                      <m:r>
                        <m:t>2</m:t>
                      </m:r>
                    </m:sub>
                  </m:sSub>
                </m:e>
              </m:d>
              <m:r>
                <m:rPr>
                  <m:sty m:val="p"/>
                </m:rPr>
                <m:t>−</m:t>
              </m:r>
              <m:d>
                <m:dPr>
                  <m:begChr m:val="("/>
                  <m:endChr m:val=")"/>
                  <m:sepChr m:val=""/>
                  <m:grow/>
                </m:dPr>
                <m:e>
                  <m:sSub>
                    <m:e>
                      <m:r>
                        <m:t>μ</m:t>
                      </m:r>
                    </m:e>
                    <m:sub>
                      <m:r>
                        <m:t>1</m:t>
                      </m:r>
                    </m:sub>
                  </m:sSub>
                  <m:r>
                    <m:rPr>
                      <m:sty m:val="p"/>
                    </m:rPr>
                    <m:t>−</m:t>
                  </m:r>
                  <m:sSub>
                    <m:e>
                      <m:r>
                        <m:t>μ</m:t>
                      </m:r>
                    </m:e>
                    <m:sub>
                      <m:r>
                        <m:t>2</m:t>
                      </m:r>
                    </m:sub>
                  </m:sSub>
                </m:e>
              </m:d>
            </m:num>
            <m:den>
              <m:rad>
                <m:radPr>
                  <m:degHide m:val="on"/>
                </m:radPr>
                <m:deg/>
                <m:e>
                  <m:sSubSup>
                    <m:e>
                      <m:r>
                        <m:t>s</m:t>
                      </m:r>
                    </m:e>
                    <m:sub>
                      <m:r>
                        <m:t>p</m:t>
                      </m:r>
                    </m:sub>
                    <m:sup>
                      <m:r>
                        <m:t>2</m:t>
                      </m:r>
                    </m:sup>
                  </m:sSubSup>
                  <m:r>
                    <m:rPr>
                      <m:sty m:val="p"/>
                    </m:rPr>
                    <m:t>/</m:t>
                  </m:r>
                  <m:sSub>
                    <m:e>
                      <m:r>
                        <m:t>n</m:t>
                      </m:r>
                    </m:e>
                    <m:sub>
                      <m:r>
                        <m:t>1</m:t>
                      </m:r>
                    </m:sub>
                  </m:sSub>
                  <m:r>
                    <m:rPr>
                      <m:sty m:val="p"/>
                    </m:rPr>
                    <m:t>+</m:t>
                  </m:r>
                  <m:sSubSup>
                    <m:e>
                      <m:r>
                        <m:t>s</m:t>
                      </m:r>
                    </m:e>
                    <m:sub>
                      <m:r>
                        <m:t>p</m:t>
                      </m:r>
                    </m:sub>
                    <m:sup>
                      <m:r>
                        <m:t>2</m:t>
                      </m:r>
                    </m:sup>
                  </m:sSubSup>
                  <m:r>
                    <m:rPr>
                      <m:sty m:val="p"/>
                    </m:rPr>
                    <m:t>/</m:t>
                  </m:r>
                  <m:sSub>
                    <m:e>
                      <m:r>
                        <m:t>n</m:t>
                      </m:r>
                    </m:e>
                    <m:sub>
                      <m:r>
                        <m:t>2</m:t>
                      </m:r>
                    </m:sub>
                  </m:sSub>
                </m:e>
              </m:rad>
            </m:den>
          </m:f>
        </m:oMath>
      </m:oMathPara>
    </w:p>
    <w:p>
      <w:pPr>
        <w:spacing w:after="100"/>
      </w:pPr>
      <w:r>
        <w:rPr>
          <w:b w:val="0"/>
          <w:i w:val="0"/>
        </w:rPr>
        <w:t>has a t-distribution with degrees of freedom n1 + n2 − 2.</w:t>
      </w:r>
    </w:p>
    <w:p>
      <w:pPr>
        <w:spacing w:after="100"/>
      </w:pPr>
      <w:r>
        <w:rPr>
          <w:b w:val="0"/>
          <w:i w:val="0"/>
        </w:rPr>
        <w:t>The quantity</w:t>
      </w:r>
    </w:p>
    <w:p>
      <w:pPr>
        <w:pStyle w:val="FirstParagraph"/>
        <w:jc w:val="center"/>
        <w:spacing w:before="40" w:after="60"/>
      </w:pPr>
      <m:oMathPara>
        <m:oMathParaPr>
          <m:jc m:val="center"/>
        </m:oMathParaPr>
        <m:oMath>
          <m:sSubSup>
            <m:e>
              <m:r>
                <m:t>s</m:t>
              </m:r>
            </m:e>
            <m:sub>
              <m:r>
                <m:t>p</m:t>
              </m:r>
            </m:sub>
            <m:sup>
              <m:r>
                <m:t>2</m:t>
              </m:r>
            </m:sup>
          </m:sSubSup>
          <m:r>
            <m:rPr>
              <m:sty m:val="p"/>
            </m:rPr>
            <m:t>=</m:t>
          </m:r>
          <m:f>
            <m:fPr>
              <m:type m:val="bar"/>
            </m:fPr>
            <m:num>
              <m:d>
                <m:dPr>
                  <m:begChr m:val="("/>
                  <m:endChr m:val=")"/>
                  <m:sepChr m:val=""/>
                  <m:grow/>
                </m:dPr>
                <m:e>
                  <m:sSub>
                    <m:e>
                      <m:r>
                        <m:t>n</m:t>
                      </m:r>
                    </m:e>
                    <m:sub>
                      <m:r>
                        <m:t>1</m:t>
                      </m:r>
                    </m:sub>
                  </m:sSub>
                  <m:r>
                    <m:rPr>
                      <m:sty m:val="p"/>
                    </m:rPr>
                    <m:t>−</m:t>
                  </m:r>
                  <m:r>
                    <m:t>1</m:t>
                  </m:r>
                </m:e>
              </m:d>
              <m:sSubSup>
                <m:e>
                  <m:r>
                    <m:t>s</m:t>
                  </m:r>
                </m:e>
                <m:sub>
                  <m:r>
                    <m:t>1</m:t>
                  </m:r>
                </m:sub>
                <m:sup>
                  <m:r>
                    <m:t>2</m:t>
                  </m:r>
                </m:sup>
              </m:sSubSup>
              <m:r>
                <m:rPr>
                  <m:sty m:val="p"/>
                </m:rPr>
                <m:t>+</m:t>
              </m:r>
              <m:d>
                <m:dPr>
                  <m:begChr m:val="("/>
                  <m:endChr m:val=")"/>
                  <m:sepChr m:val=""/>
                  <m:grow/>
                </m:dPr>
                <m:e>
                  <m:sSub>
                    <m:e>
                      <m:r>
                        <m:t>n</m:t>
                      </m:r>
                    </m:e>
                    <m:sub>
                      <m:r>
                        <m:t>2</m:t>
                      </m:r>
                    </m:sub>
                  </m:sSub>
                  <m:r>
                    <m:rPr>
                      <m:sty m:val="p"/>
                    </m:rPr>
                    <m:t>−</m:t>
                  </m:r>
                  <m:r>
                    <m:t>1</m:t>
                  </m:r>
                </m:e>
              </m:d>
              <m:sSubSup>
                <m:e>
                  <m:r>
                    <m:t>s</m:t>
                  </m:r>
                </m:e>
                <m:sub>
                  <m:r>
                    <m:t>2</m:t>
                  </m:r>
                </m:sub>
                <m:sup>
                  <m:r>
                    <m:t>2</m:t>
                  </m:r>
                </m:sup>
              </m:sSubSup>
            </m:num>
            <m:den>
              <m:sSub>
                <m:e>
                  <m:r>
                    <m:t>n</m:t>
                  </m:r>
                </m:e>
                <m:sub>
                  <m:r>
                    <m:t>1</m:t>
                  </m:r>
                </m:sub>
              </m:sSub>
              <m:r>
                <m:rPr>
                  <m:sty m:val="p"/>
                </m:rPr>
                <m:t>+</m:t>
              </m:r>
              <m:sSub>
                <m:e>
                  <m:r>
                    <m:t>n</m:t>
                  </m:r>
                </m:e>
                <m:sub>
                  <m:r>
                    <m:t>2</m:t>
                  </m:r>
                </m:sub>
              </m:sSub>
              <m:r>
                <m:rPr>
                  <m:sty m:val="p"/>
                </m:rPr>
                <m:t>−</m:t>
              </m:r>
              <m:r>
                <m:t>2</m:t>
              </m:r>
            </m:den>
          </m:f>
        </m:oMath>
      </m:oMathPara>
    </w:p>
    <w:p>
      <w:pPr>
        <w:spacing w:after="100"/>
      </w:pPr>
      <w:r>
        <w:rPr>
          <w:b w:val="0"/>
          <w:i w:val="0"/>
        </w:rPr>
        <w:t>is the pooled variance which estimates σ1² = σ2².</w:t>
      </w:r>
    </w:p>
    <w:p>
      <w:pPr>
        <w:spacing w:after="100"/>
      </w:pPr>
      <w:r>
        <w:rPr>
          <w:b w:val="0"/>
          <w:i w:val="0"/>
        </w:rPr>
        <w:t>Hence, when doing a hypothesis test for independent samples when σ1² = σ2² the test statistic is the t above with n1 + n2 − 2 degrees of freedom.</w:t>
      </w:r>
    </w:p>
    <w:p>
      <w:pPr>
        <w:spacing w:after="100"/>
      </w:pPr>
      <w:r>
        <w:rPr>
          <w:b w:val="0"/>
          <w:i w:val="0"/>
        </w:rPr>
        <w:t>To calculate a confidence interval we take (x̄1 − x̄2) ± E with</w:t>
      </w:r>
    </w:p>
    <w:p>
      <w:pPr>
        <w:pStyle w:val="FirstParagraph"/>
        <w:jc w:val="center"/>
        <w:spacing w:before="40" w:after="60"/>
      </w:pPr>
      <m:oMathPara>
        <m:oMathParaPr>
          <m:jc m:val="center"/>
        </m:oMathParaPr>
        <m:oMath>
          <m:r>
            <m:t>E</m:t>
          </m:r>
          <m:r>
            <m:rPr>
              <m:sty m:val="p"/>
            </m:rPr>
            <m:t>=</m:t>
          </m:r>
          <m:r>
            <m:t>t</m:t>
          </m:r>
          <m:rad>
            <m:radPr>
              <m:degHide m:val="on"/>
            </m:radPr>
            <m:deg/>
            <m:e>
              <m:f>
                <m:fPr>
                  <m:type m:val="bar"/>
                </m:fPr>
                <m:num>
                  <m:sSubSup>
                    <m:e>
                      <m:r>
                        <m:t>s</m:t>
                      </m:r>
                    </m:e>
                    <m:sub>
                      <m:r>
                        <m:t>p</m:t>
                      </m:r>
                    </m:sub>
                    <m:sup>
                      <m:r>
                        <m:t>2</m:t>
                      </m:r>
                    </m:sup>
                  </m:sSubSup>
                </m:num>
                <m:den>
                  <m:sSub>
                    <m:e>
                      <m:r>
                        <m:t>n</m:t>
                      </m:r>
                    </m:e>
                    <m:sub>
                      <m:r>
                        <m:t>1</m:t>
                      </m:r>
                    </m:sub>
                  </m:sSub>
                </m:den>
              </m:f>
              <m:r>
                <m:rPr>
                  <m:sty m:val="p"/>
                </m:rPr>
                <m:t>+</m:t>
              </m:r>
              <m:f>
                <m:fPr>
                  <m:type m:val="bar"/>
                </m:fPr>
                <m:num>
                  <m:sSubSup>
                    <m:e>
                      <m:r>
                        <m:t>s</m:t>
                      </m:r>
                    </m:e>
                    <m:sub>
                      <m:r>
                        <m:t>p</m:t>
                      </m:r>
                    </m:sub>
                    <m:sup>
                      <m:r>
                        <m:t>2</m:t>
                      </m:r>
                    </m:sup>
                  </m:sSubSup>
                </m:num>
                <m:den>
                  <m:sSub>
                    <m:e>
                      <m:r>
                        <m:t>n</m:t>
                      </m:r>
                    </m:e>
                    <m:sub>
                      <m:r>
                        <m:t>2</m:t>
                      </m:r>
                    </m:sub>
                  </m:sSub>
                </m:den>
              </m:f>
            </m:e>
          </m:rad>
        </m:oMath>
      </m:oMathPara>
    </w:p>
    <w:tbl>
      <w:tblPr>
        <w:tblW w:type="auto" w:w="0"/>
        <w:tblLook w:firstColumn="1" w:firstRow="1" w:lastColumn="0" w:lastRow="0" w:noHBand="0" w:noVBand="1" w:val="04A0"/>
      </w:tblPr>
      <w:tblGrid>
        <w:gridCol w:w="9994"/>
      </w:tblGrid>
      <w:tr>
        <w:trPr/>
        <w:tc>
          <w:tcPr>
            <w:tcW w:type="dxa" w:w="9994"/>
            <w:tcBorders>
              <w:top w:val="single" w:sz="22" w:color="E7A614"/>
              <w:left w:val="single" w:sz="8" w:color="D7DEE5"/>
              <w:right w:val="single" w:sz="8" w:color="D7DEE5"/>
              <w:bottom w:val="single" w:sz="8" w:color="D7DEE5"/>
            </w:tcBorders>
          </w:tcPr>
          <w:p>
            <w:pPr>
              <w:spacing w:after="60"/>
            </w:pPr>
            <w:r>
              <w:rPr>
                <w:b/>
                <w:color w:val="00467F"/>
              </w:rPr>
              <w:t>Example</w:t>
            </w:r>
          </w:p>
          <w:p>
            <w:pPr>
              <w:spacing w:after="80"/>
            </w:pPr>
            <w:r>
              <w:rPr>
                <w:b w:val="0"/>
              </w:rPr>
              <w:t>A study is designed to compare gas mileage with a fuel additive to gas mileage without the additive.</w:t>
            </w:r>
          </w:p>
          <w:p>
            <w:pPr>
              <w:spacing w:after="80"/>
            </w:pPr>
            <w:r>
              <w:rPr>
                <w:b w:val="0"/>
              </w:rPr>
              <w:t>A group of 10 Ford Mustangs are randomly divided into two groups and the gas mileage is recorded for one tank of gas.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1872"/>
                  <w:vAlign w:val="center"/>
                  <w:shd w:fill="F2F7FB"/>
                </w:tcPr>
                <w:p>
                  <w:pPr>
                    <w:spacing w:after="0"/>
                    <w:jc w:val="center"/>
                  </w:pPr>
                  <w:r>
                    <w:rPr>
                      <w:b/>
                      <w:color w:val="00467F"/>
                      <w:sz w:val="16"/>
                    </w:rPr>
                  </w:r>
                </w:p>
              </w:tc>
              <w:tc>
                <w:tcPr>
                  <w:tcW w:type="dxa" w:w="3456"/>
                  <w:vAlign w:val="center"/>
                  <w:shd w:fill="F2F7FB"/>
                </w:tcPr>
                <w:p>
                  <w:pPr>
                    <w:spacing w:after="0"/>
                    <w:jc w:val="center"/>
                  </w:pPr>
                  <w:r>
                    <w:rPr>
                      <w:b/>
                      <w:color w:val="00467F"/>
                      <w:sz w:val="16"/>
                    </w:rPr>
                    <w:t>With Additive</w:t>
                    <w:br/>
                    <w:t>Treatment 1</w:t>
                  </w:r>
                </w:p>
              </w:tc>
              <w:tc>
                <w:tcPr>
                  <w:tcW w:type="dxa" w:w="3456"/>
                  <w:vAlign w:val="center"/>
                  <w:shd w:fill="F2F7FB"/>
                </w:tcPr>
                <w:p>
                  <w:pPr>
                    <w:spacing w:after="0"/>
                    <w:jc w:val="center"/>
                  </w:pPr>
                  <w:r>
                    <w:rPr>
                      <w:b/>
                      <w:color w:val="00467F"/>
                      <w:sz w:val="16"/>
                    </w:rPr>
                    <w:t>Without Additive</w:t>
                    <w:br/>
                    <w:t>Treatment 2</w:t>
                  </w:r>
                </w:p>
              </w:tc>
            </w:tr>
            <w:tr>
              <w:tc>
                <w:tcPr>
                  <w:tcW w:type="dxa" w:w="1872"/>
                  <w:vAlign w:val="center"/>
                </w:tcPr>
                <w:p>
                  <w:pPr>
                    <w:spacing w:after="0"/>
                    <w:jc w:val="center"/>
                  </w:pPr>
                  <w:r>
                    <w:rPr>
                      <w:sz w:val="16"/>
                    </w:rPr>
                    <w:t>Sample Size</w:t>
                  </w:r>
                </w:p>
              </w:tc>
              <w:tc>
                <w:tcPr>
                  <w:tcW w:type="dxa" w:w="3456"/>
                  <w:vAlign w:val="center"/>
                </w:tcPr>
                <w:p>
                  <w:pPr>
                    <w:spacing w:after="0"/>
                    <w:jc w:val="center"/>
                  </w:pPr>
                  <w:r>
                    <w:rPr>
                      <w:sz w:val="16"/>
                    </w:rPr>
                    <w:t>n1 = 5</w:t>
                  </w:r>
                </w:p>
              </w:tc>
              <w:tc>
                <w:tcPr>
                  <w:tcW w:type="dxa" w:w="3456"/>
                  <w:vAlign w:val="center"/>
                </w:tcPr>
                <w:p>
                  <w:pPr>
                    <w:spacing w:after="0"/>
                    <w:jc w:val="center"/>
                  </w:pPr>
                  <w:r>
                    <w:rPr>
                      <w:sz w:val="16"/>
                    </w:rPr>
                    <w:t>n2 = 5</w:t>
                  </w:r>
                </w:p>
              </w:tc>
            </w:tr>
            <w:tr>
              <w:tc>
                <w:tcPr>
                  <w:tcW w:type="dxa" w:w="1872"/>
                  <w:vAlign w:val="center"/>
                </w:tcPr>
                <w:p>
                  <w:pPr>
                    <w:spacing w:after="0"/>
                    <w:jc w:val="center"/>
                  </w:pPr>
                  <w:r>
                    <w:rPr>
                      <w:sz w:val="16"/>
                    </w:rPr>
                    <w:t>Data</w:t>
                  </w:r>
                </w:p>
              </w:tc>
              <w:tc>
                <w:tcPr>
                  <w:tcW w:type="dxa" w:w="3456"/>
                  <w:vAlign w:val="center"/>
                </w:tcPr>
                <w:p>
                  <w:pPr>
                    <w:spacing w:after="0"/>
                    <w:jc w:val="center"/>
                  </w:pPr>
                  <w:r>
                    <w:rPr>
                      <w:sz w:val="16"/>
                    </w:rPr>
                    <w:t>26.3, 27.4, 25.1, 26.8, 27.1</w:t>
                  </w:r>
                </w:p>
              </w:tc>
              <w:tc>
                <w:tcPr>
                  <w:tcW w:type="dxa" w:w="3456"/>
                  <w:vAlign w:val="center"/>
                </w:tcPr>
                <w:p>
                  <w:pPr>
                    <w:spacing w:after="0"/>
                    <w:jc w:val="center"/>
                  </w:pPr>
                  <w:r>
                    <w:rPr>
                      <w:sz w:val="16"/>
                    </w:rPr>
                    <w:t>24.5, 25.4, 23.7, 25.9, 25.7</w:t>
                  </w:r>
                </w:p>
              </w:tc>
            </w:tr>
            <w:tr>
              <w:tc>
                <w:tcPr>
                  <w:tcW w:type="dxa" w:w="1872"/>
                  <w:vAlign w:val="center"/>
                </w:tcPr>
                <w:p>
                  <w:pPr>
                    <w:spacing w:after="0"/>
                    <w:jc w:val="center"/>
                  </w:pPr>
                  <w:r>
                    <w:rPr>
                      <w:sz w:val="16"/>
                    </w:rPr>
                    <w:t>Sample Mean</w:t>
                  </w:r>
                </w:p>
              </w:tc>
              <w:tc>
                <w:tcPr>
                  <w:tcW w:type="dxa" w:w="3456"/>
                  <w:vAlign w:val="center"/>
                </w:tcPr>
                <w:p>
                  <w:pPr>
                    <w:spacing w:after="0"/>
                    <w:jc w:val="center"/>
                  </w:pPr>
                  <w:r>
                    <w:rPr>
                      <w:sz w:val="16"/>
                    </w:rPr>
                    <w:t>x̄1 = 26.54</w:t>
                  </w:r>
                </w:p>
              </w:tc>
              <w:tc>
                <w:tcPr>
                  <w:tcW w:type="dxa" w:w="3456"/>
                  <w:vAlign w:val="center"/>
                </w:tcPr>
                <w:p>
                  <w:pPr>
                    <w:spacing w:after="0"/>
                    <w:jc w:val="center"/>
                  </w:pPr>
                  <w:r>
                    <w:rPr>
                      <w:sz w:val="16"/>
                    </w:rPr>
                    <w:t>x̄2 = 25.04</w:t>
                  </w:r>
                </w:p>
              </w:tc>
            </w:tr>
            <w:tr>
              <w:tc>
                <w:tcPr>
                  <w:tcW w:type="dxa" w:w="1872"/>
                  <w:vAlign w:val="center"/>
                </w:tcPr>
                <w:p>
                  <w:pPr>
                    <w:spacing w:after="0"/>
                    <w:jc w:val="center"/>
                  </w:pPr>
                  <w:r>
                    <w:rPr>
                      <w:sz w:val="16"/>
                    </w:rPr>
                    <w:t>Sample Variance</w:t>
                  </w:r>
                </w:p>
              </w:tc>
              <w:tc>
                <w:tcPr>
                  <w:tcW w:type="dxa" w:w="3456"/>
                  <w:vAlign w:val="center"/>
                </w:tcPr>
                <w:p>
                  <w:pPr>
                    <w:spacing w:after="0"/>
                    <w:jc w:val="center"/>
                  </w:pPr>
                  <w:r>
                    <w:rPr>
                      <w:sz w:val="16"/>
                    </w:rPr>
                    <w:t>s1² = 0.813</w:t>
                  </w:r>
                </w:p>
              </w:tc>
              <w:tc>
                <w:tcPr>
                  <w:tcW w:type="dxa" w:w="3456"/>
                  <w:vAlign w:val="center"/>
                </w:tcPr>
                <w:p>
                  <w:pPr>
                    <w:spacing w:after="0"/>
                    <w:jc w:val="center"/>
                  </w:pPr>
                  <w:r>
                    <w:rPr>
                      <w:sz w:val="16"/>
                    </w:rPr>
                    <w:t>s2² = 0.848</w:t>
                  </w:r>
                </w:p>
              </w:tc>
            </w:tr>
          </w:tbl>
          <w:p/>
          <w:p>
            <w:pPr>
              <w:spacing w:after="80"/>
            </w:pPr>
            <w:r>
              <w:rPr>
                <w:b w:val="0"/>
              </w:rPr>
              <w:t>Use the information provided to conduct a hypothesis to see if the additive increases gas mileage. Assume σ1² = σ2² and use a significance level of σ = .05.</w:t>
            </w:r>
          </w:p>
          <w:p>
            <w:pPr>
              <w:spacing w:before="140" w:after="80"/>
            </w:pPr>
            <w:r>
              <w:rPr>
                <w:b/>
                <w:color w:val="00467F"/>
              </w:rPr>
              <w:t>Solution</w:t>
            </w:r>
          </w:p>
          <w:p>
            <w:pPr>
              <w:spacing w:after="80"/>
            </w:pPr>
            <w:r>
              <w:rPr>
                <w:b w:val="0"/>
              </w:rPr>
              <w:t>1) Ha: μ1 − μ1 &gt; 0 (Remember this is the same as testing μ1 &gt; μ2)</w:t>
            </w:r>
          </w:p>
          <w:p>
            <w:pPr>
              <w:spacing w:after="80"/>
            </w:pPr>
            <w:r>
              <w:rPr>
                <w:b w:val="0"/>
              </w:rPr>
              <w:t>H0: μ1 − μ2 ≤ 0</w:t>
            </w:r>
          </w:p>
          <w:p>
            <w:pPr>
              <w:spacing w:after="80"/>
            </w:pPr>
            <w:r>
              <w:rPr>
                <w:b w:val="0"/>
              </w:rPr>
              <w:t>2) This is a t since we are doing a hypothesis test for μ1 − μ2 with an independent sample design. The critical region depends on Ha (since we are testing &gt;, the critical region is to the right) and α (the area is α). Remember that d.f. is n1 + n2 − 2.</w:t>
            </w:r>
          </w:p>
          <w:p>
            <w:pPr>
              <w:spacing w:after="80"/>
            </w:pPr>
            <w:r>
              <w:rPr>
                <w:b/>
              </w:rPr>
              <w:t>Reject H0 if t ≥ 1.860</w:t>
            </w:r>
          </w:p>
          <w:p>
            <w:pPr>
              <w:spacing w:after="80"/>
            </w:pPr>
            <w:r>
              <w:rPr>
                <w:b w:val="0"/>
              </w:rPr>
              <w:t>3) d.f. = n1 + n2 − 2 = 5 + 5 − 2 = 8</w:t>
            </w:r>
          </w:p>
          <w:p>
            <w:pPr>
              <w:pStyle w:val="FirstParagraph"/>
              <w:jc w:val="center"/>
              <w:spacing w:before="40" w:after="60"/>
            </w:pPr>
            <m:oMathPara>
              <m:oMathParaPr>
                <m:jc m:val="center"/>
              </m:oMathParaPr>
              <m:oMath>
                <m:sSubSup>
                  <m:e>
                    <m:r>
                      <m:t>s</m:t>
                    </m:r>
                  </m:e>
                  <m:sub>
                    <m:r>
                      <m:t>p</m:t>
                    </m:r>
                  </m:sub>
                  <m:sup>
                    <m:r>
                      <m:t>2</m:t>
                    </m:r>
                  </m:sup>
                </m:sSubSup>
                <m:r>
                  <m:rPr>
                    <m:sty m:val="p"/>
                  </m:rPr>
                  <m:t>=</m:t>
                </m:r>
                <m:f>
                  <m:fPr>
                    <m:type m:val="bar"/>
                  </m:fPr>
                  <m:num>
                    <m:d>
                      <m:dPr>
                        <m:begChr m:val="("/>
                        <m:endChr m:val=")"/>
                        <m:sepChr m:val=""/>
                        <m:grow/>
                      </m:dPr>
                      <m:e>
                        <m:r>
                          <m:t>5</m:t>
                        </m:r>
                        <m:r>
                          <m:rPr>
                            <m:sty m:val="p"/>
                          </m:rPr>
                          <m:t>−</m:t>
                        </m:r>
                        <m:r>
                          <m:t>1</m:t>
                        </m:r>
                      </m:e>
                    </m:d>
                    <m:d>
                      <m:dPr>
                        <m:begChr m:val="("/>
                        <m:endChr m:val=")"/>
                        <m:sepChr m:val=""/>
                        <m:grow/>
                      </m:dPr>
                      <m:e>
                        <m:r>
                          <m:t>0.813</m:t>
                        </m:r>
                      </m:e>
                    </m:d>
                    <m:r>
                      <m:rPr>
                        <m:sty m:val="p"/>
                      </m:rPr>
                      <m:t>+</m:t>
                    </m:r>
                    <m:d>
                      <m:dPr>
                        <m:begChr m:val="("/>
                        <m:endChr m:val=")"/>
                        <m:sepChr m:val=""/>
                        <m:grow/>
                      </m:dPr>
                      <m:e>
                        <m:r>
                          <m:t>5</m:t>
                        </m:r>
                        <m:r>
                          <m:rPr>
                            <m:sty m:val="p"/>
                          </m:rPr>
                          <m:t>−</m:t>
                        </m:r>
                        <m:r>
                          <m:t>1</m:t>
                        </m:r>
                      </m:e>
                    </m:d>
                    <m:d>
                      <m:dPr>
                        <m:begChr m:val="("/>
                        <m:endChr m:val=")"/>
                        <m:sepChr m:val=""/>
                        <m:grow/>
                      </m:dPr>
                      <m:e>
                        <m:r>
                          <m:t>0.848</m:t>
                        </m:r>
                      </m:e>
                    </m:d>
                  </m:num>
                  <m:den>
                    <m:r>
                      <m:t>5</m:t>
                    </m:r>
                    <m:r>
                      <m:rPr>
                        <m:sty m:val="p"/>
                      </m:rPr>
                      <m:t>+</m:t>
                    </m:r>
                    <m:r>
                      <m:t>5</m:t>
                    </m:r>
                    <m:r>
                      <m:rPr>
                        <m:sty m:val="p"/>
                      </m:rPr>
                      <m:t>−</m:t>
                    </m:r>
                    <m:r>
                      <m:t>2</m:t>
                    </m:r>
                  </m:den>
                </m:f>
                <m:r>
                  <m:rPr>
                    <m:sty m:val="p"/>
                  </m:rPr>
                  <m:t>=</m:t>
                </m:r>
                <m:r>
                  <m:t>0.8305</m:t>
                </m:r>
              </m:oMath>
            </m:oMathPara>
          </w:p>
          <w:p>
            <w:pPr>
              <w:pStyle w:val="FirstParagraph"/>
              <w:jc w:val="center"/>
              <w:spacing w:before="40" w:after="60"/>
            </w:pPr>
            <m:oMathPara>
              <m:oMathParaPr>
                <m:jc m:val="center"/>
              </m:oMathParaPr>
              <m:oMath>
                <m:r>
                  <m:t>t</m:t>
                </m:r>
                <m:r>
                  <m:rPr>
                    <m:sty m:val="p"/>
                  </m:rPr>
                  <m:t>=</m:t>
                </m:r>
                <m:f>
                  <m:fPr>
                    <m:type m:val="bar"/>
                  </m:fPr>
                  <m:num>
                    <m:d>
                      <m:dPr>
                        <m:begChr m:val="("/>
                        <m:endChr m:val=")"/>
                        <m:sepChr m:val=""/>
                        <m:grow/>
                      </m:dPr>
                      <m:e>
                        <m:r>
                          <m:t>26.54</m:t>
                        </m:r>
                        <m:r>
                          <m:rPr>
                            <m:sty m:val="p"/>
                          </m:rPr>
                          <m:t>−</m:t>
                        </m:r>
                        <m:r>
                          <m:t>25.04</m:t>
                        </m:r>
                      </m:e>
                    </m:d>
                    <m:r>
                      <m:rPr>
                        <m:sty m:val="p"/>
                      </m:rPr>
                      <m:t>−</m:t>
                    </m:r>
                    <m:r>
                      <m:t>0</m:t>
                    </m:r>
                  </m:num>
                  <m:den>
                    <m:rad>
                      <m:radPr>
                        <m:degHide m:val="on"/>
                      </m:radPr>
                      <m:deg/>
                      <m:e>
                        <m:r>
                          <m:t>0.8305</m:t>
                        </m:r>
                        <m:r>
                          <m:rPr>
                            <m:sty m:val="p"/>
                          </m:rPr>
                          <m:t>/</m:t>
                        </m:r>
                        <m:r>
                          <m:t>5</m:t>
                        </m:r>
                        <m:r>
                          <m:rPr>
                            <m:sty m:val="p"/>
                          </m:rPr>
                          <m:t>+</m:t>
                        </m:r>
                        <m:r>
                          <m:t>0.8305</m:t>
                        </m:r>
                        <m:r>
                          <m:rPr>
                            <m:sty m:val="p"/>
                          </m:rPr>
                          <m:t>/</m:t>
                        </m:r>
                        <m:r>
                          <m:t>5</m:t>
                        </m:r>
                      </m:e>
                    </m:rad>
                  </m:den>
                </m:f>
                <m:r>
                  <m:rPr>
                    <m:sty m:val="p"/>
                  </m:rPr>
                  <m:t>=</m:t>
                </m:r>
                <m:r>
                  <m:t>2.603</m:t>
                </m:r>
              </m:oMath>
            </m:oMathPara>
          </w:p>
          <w:p>
            <w:pPr>
              <w:spacing w:after="80"/>
            </w:pPr>
            <w:r>
              <w:rPr>
                <w:b w:val="0"/>
              </w:rPr>
              <w:t>4) Reject H0 (since 2.603 ≥ 1.860, the test statistic is in the critical region)</w:t>
            </w:r>
          </w:p>
          <w:p>
            <w:pPr>
              <w:spacing w:after="80"/>
            </w:pPr>
            <w:r>
              <w:rPr>
                <w:b w:val="0"/>
              </w:rPr>
              <w:t>5) Conclude with 95% confidence that the additive improves gas mileage.</w:t>
            </w:r>
          </w:p>
        </w:tc>
      </w:tr>
    </w:tbl>
    <w:tbl>
      <w:tblPr>
        <w:tblW w:type="auto" w:w="0"/>
        <w:tblLook w:firstColumn="1" w:firstRow="1" w:lastColumn="0" w:lastRow="0" w:noHBand="0" w:noVBand="1" w:val="04A0"/>
      </w:tblPr>
      <w:tblGrid>
        <w:gridCol w:w="9994"/>
      </w:tblGrid>
      <w:tr>
        <w:trPr>
          <w:cantSplit/>
        </w:trPr>
        <w:tc>
          <w:tcPr>
            <w:tcW w:type="dxa" w:w="9994"/>
            <w:tcBorders>
              <w:top w:val="single" w:sz="22" w:color="E7A614"/>
              <w:left w:val="single" w:sz="8" w:color="D7DEE5"/>
              <w:right w:val="single" w:sz="8" w:color="D7DEE5"/>
              <w:bottom w:val="single" w:sz="8" w:color="D7DEE5"/>
            </w:tcBorders>
          </w:tcPr>
          <w:p>
            <w:pPr>
              <w:spacing w:after="60"/>
            </w:pPr>
            <w:r>
              <w:rPr>
                <w:b/>
                <w:color w:val="00467F"/>
              </w:rPr>
              <w:t>Example</w:t>
            </w:r>
          </w:p>
          <w:p>
            <w:pPr>
              <w:spacing w:after="80"/>
            </w:pPr>
            <w:r>
              <w:rPr>
                <w:b w:val="0"/>
              </w:rPr>
              <w:t>Use the gas mileage data presented in the previous example to construct and interpret a 95% confidence interval for μ1 − μ2.</w:t>
            </w:r>
          </w:p>
          <w:p>
            <w:pPr>
              <w:spacing w:before="140" w:after="80"/>
            </w:pPr>
            <w:r>
              <w:rPr>
                <w:b/>
                <w:color w:val="00467F"/>
              </w:rPr>
              <w:t>Solution</w:t>
            </w:r>
          </w:p>
          <w:p>
            <w:pPr>
              <w:pStyle w:val="FirstParagraph"/>
              <w:jc w:val="center"/>
              <w:spacing w:before="40" w:after="60"/>
            </w:pPr>
            <m:oMathPara>
              <m:oMathParaPr>
                <m:jc m:val="center"/>
              </m:oMathParaPr>
              <m:oMath>
                <m:r>
                  <m:t>E</m:t>
                </m:r>
                <m:r>
                  <m:rPr>
                    <m:sty m:val="p"/>
                  </m:rPr>
                  <m:t>=</m:t>
                </m:r>
                <m:r>
                  <m:t>2.306</m:t>
                </m:r>
                <m:rad>
                  <m:radPr>
                    <m:degHide m:val="on"/>
                  </m:radPr>
                  <m:deg/>
                  <m:e>
                    <m:r>
                      <m:t>0.8305</m:t>
                    </m:r>
                    <m:r>
                      <m:rPr>
                        <m:sty m:val="p"/>
                      </m:rPr>
                      <m:t>/</m:t>
                    </m:r>
                    <m:r>
                      <m:t>5</m:t>
                    </m:r>
                    <m:r>
                      <m:rPr>
                        <m:sty m:val="p"/>
                      </m:rPr>
                      <m:t>+</m:t>
                    </m:r>
                    <m:r>
                      <m:t>0.8305</m:t>
                    </m:r>
                    <m:r>
                      <m:rPr>
                        <m:sty m:val="p"/>
                      </m:rPr>
                      <m:t>/</m:t>
                    </m:r>
                    <m:r>
                      <m:t>5</m:t>
                    </m:r>
                  </m:e>
                </m:rad>
                <m:r>
                  <m:rPr>
                    <m:sty m:val="p"/>
                  </m:rPr>
                  <m:t>=</m:t>
                </m:r>
                <m:r>
                  <m:t>1.329</m:t>
                </m:r>
              </m:oMath>
            </m:oMathPara>
          </w:p>
          <w:p>
            <w:pPr>
              <w:pStyle w:val="FirstParagraph"/>
              <w:jc w:val="center"/>
              <w:spacing w:before="40" w:after="60"/>
            </w:pPr>
            <m:oMathPara>
              <m:oMathParaPr>
                <m:jc m:val="center"/>
              </m:oMathParaPr>
              <m:oMath>
                <m:d>
                  <m:dPr>
                    <m:begChr m:val="("/>
                    <m:endChr m:val=")"/>
                    <m:sepChr m:val=""/>
                    <m:grow/>
                  </m:dPr>
                  <m:e>
                    <m:sSub>
                      <m:e>
                        <m:acc>
                          <m:accPr>
                            <m:chr m:val="‾"/>
                          </m:accPr>
                          <m:e>
                            <m:r>
                              <m:t>x</m:t>
                            </m:r>
                          </m:e>
                        </m:acc>
                      </m:e>
                      <m:sub>
                        <m:r>
                          <m:t>1</m:t>
                        </m:r>
                      </m:sub>
                    </m:sSub>
                    <m:r>
                      <m:rPr>
                        <m:sty m:val="p"/>
                      </m:rPr>
                      <m:t>−</m:t>
                    </m:r>
                    <m:sSub>
                      <m:e>
                        <m:acc>
                          <m:accPr>
                            <m:chr m:val="‾"/>
                          </m:accPr>
                          <m:e>
                            <m:r>
                              <m:t>x</m:t>
                            </m:r>
                          </m:e>
                        </m:acc>
                      </m:e>
                      <m:sub>
                        <m:r>
                          <m:t>2</m:t>
                        </m:r>
                      </m:sub>
                    </m:sSub>
                  </m:e>
                </m:d>
                <m:r>
                  <m:rPr>
                    <m:sty m:val="p"/>
                  </m:rPr>
                  <m:t>±</m:t>
                </m:r>
                <m:r>
                  <m:t>E</m:t>
                </m:r>
              </m:oMath>
            </m:oMathPara>
          </w:p>
          <w:p>
            <w:pPr>
              <w:pStyle w:val="FirstParagraph"/>
              <w:jc w:val="center"/>
              <w:spacing w:before="40" w:after="60"/>
            </w:pPr>
            <m:oMathPara>
              <m:oMathParaPr>
                <m:jc m:val="center"/>
              </m:oMathParaPr>
              <m:oMath>
                <m:d>
                  <m:dPr>
                    <m:begChr m:val="("/>
                    <m:endChr m:val=")"/>
                    <m:sepChr m:val=""/>
                    <m:grow/>
                  </m:dPr>
                  <m:e>
                    <m:r>
                      <m:t>26.54</m:t>
                    </m:r>
                    <m:r>
                      <m:rPr>
                        <m:sty m:val="p"/>
                      </m:rPr>
                      <m:t>−</m:t>
                    </m:r>
                    <m:r>
                      <m:t>25.04</m:t>
                    </m:r>
                  </m:e>
                </m:d>
                <m:r>
                  <m:rPr>
                    <m:sty m:val="p"/>
                  </m:rPr>
                  <m:t>±</m:t>
                </m:r>
                <m:r>
                  <m:t>1.329</m:t>
                </m:r>
              </m:oMath>
            </m:oMathPara>
          </w:p>
          <w:p>
            <w:pPr>
              <w:pStyle w:val="FirstParagraph"/>
              <w:jc w:val="center"/>
              <w:spacing w:before="40" w:after="60"/>
            </w:pPr>
            <m:oMathPara>
              <m:oMathParaPr>
                <m:jc m:val="center"/>
              </m:oMathParaPr>
              <m:oMath>
                <m:r>
                  <m:t>1.50</m:t>
                </m:r>
                <m:r>
                  <m:rPr>
                    <m:sty m:val="p"/>
                  </m:rPr>
                  <m:t>±</m:t>
                </m:r>
                <m:r>
                  <m:t>1.329</m:t>
                </m:r>
              </m:oMath>
            </m:oMathPara>
          </w:p>
          <w:p>
            <w:pPr>
              <w:pStyle w:val="FirstParagraph"/>
              <w:jc w:val="center"/>
              <w:spacing w:before="40" w:after="60"/>
            </w:pPr>
            <m:oMathPara>
              <m:oMathParaPr>
                <m:jc m:val="center"/>
              </m:oMathParaPr>
              <m:oMath>
                <m:d>
                  <m:dPr>
                    <m:begChr m:val="("/>
                    <m:endChr m:val=")"/>
                    <m:sepChr m:val=""/>
                    <m:grow/>
                  </m:dPr>
                  <m:e>
                    <m:r>
                      <m:t>0.171</m:t>
                    </m:r>
                    <m:r>
                      <m:rPr>
                        <m:sty m:val="p"/>
                      </m:rPr>
                      <m:t>,</m:t>
                    </m:r>
                    <m:r>
                      <m:t> </m:t>
                    </m:r>
                    <m:r>
                      <m:t>2.829</m:t>
                    </m:r>
                  </m:e>
                </m:d>
              </m:oMath>
            </m:oMathPara>
          </w:p>
          <w:p>
            <w:pPr>
              <w:spacing w:after="80"/>
            </w:pPr>
            <w:r>
              <w:rPr>
                <w:b w:val="0"/>
              </w:rPr>
              <w:t>We are 95% confident that the additive will increase gas mileage by an amount between 0.171 and 2.829 miles.</w:t>
            </w:r>
          </w:p>
        </w:tc>
      </w:tr>
    </w:tbl>
    <w:p>
      <w:pPr>
        <w:pStyle w:val="Heading1"/>
        <w:spacing w:before="180" w:after="100"/>
      </w:pPr>
      <w:r>
        <w:t>If σ1² ≠ σ2² what should we do?</w:t>
      </w:r>
    </w:p>
    <w:p>
      <w:pPr>
        <w:spacing w:after="100"/>
      </w:pPr>
      <w:r>
        <w:rPr>
          <w:b w:val="0"/>
          <w:i w:val="0"/>
        </w:rPr>
        <w:t>Without the assumption of equal variances, it makes no sense to compute sp².</w:t>
      </w:r>
    </w:p>
    <w:p>
      <w:pPr>
        <w:spacing w:after="100"/>
      </w:pPr>
      <w:r>
        <w:rPr>
          <w:b w:val="0"/>
          <w:i w:val="0"/>
        </w:rPr>
        <w:t>A reasonable transformation in this case is</w:t>
      </w:r>
    </w:p>
    <w:p>
      <w:pPr>
        <w:pStyle w:val="FirstParagraph"/>
        <w:jc w:val="center"/>
        <w:spacing w:before="40" w:after="60"/>
      </w:pPr>
      <m:oMathPara>
        <m:oMathParaPr>
          <m:jc m:val="center"/>
        </m:oMathParaPr>
        <m:oMath>
          <m:r>
            <m:t>t</m:t>
          </m:r>
          <m:r>
            <m:rPr>
              <m:sty m:val="p"/>
            </m:rPr>
            <m:t>=</m:t>
          </m:r>
          <m:f>
            <m:fPr>
              <m:type m:val="bar"/>
            </m:fPr>
            <m:num>
              <m:d>
                <m:dPr>
                  <m:begChr m:val="("/>
                  <m:endChr m:val=")"/>
                  <m:sepChr m:val=""/>
                  <m:grow/>
                </m:dPr>
                <m:e>
                  <m:sSub>
                    <m:e>
                      <m:acc>
                        <m:accPr>
                          <m:chr m:val="‾"/>
                        </m:accPr>
                        <m:e>
                          <m:r>
                            <m:t>x</m:t>
                          </m:r>
                        </m:e>
                      </m:acc>
                    </m:e>
                    <m:sub>
                      <m:r>
                        <m:t>1</m:t>
                      </m:r>
                    </m:sub>
                  </m:sSub>
                  <m:r>
                    <m:rPr>
                      <m:sty m:val="p"/>
                    </m:rPr>
                    <m:t>−</m:t>
                  </m:r>
                  <m:sSub>
                    <m:e>
                      <m:acc>
                        <m:accPr>
                          <m:chr m:val="‾"/>
                        </m:accPr>
                        <m:e>
                          <m:r>
                            <m:t>x</m:t>
                          </m:r>
                        </m:e>
                      </m:acc>
                    </m:e>
                    <m:sub>
                      <m:r>
                        <m:t>2</m:t>
                      </m:r>
                    </m:sub>
                  </m:sSub>
                </m:e>
              </m:d>
              <m:r>
                <m:rPr>
                  <m:sty m:val="p"/>
                </m:rPr>
                <m:t>−</m:t>
              </m:r>
              <m:d>
                <m:dPr>
                  <m:begChr m:val="("/>
                  <m:endChr m:val=")"/>
                  <m:sepChr m:val=""/>
                  <m:grow/>
                </m:dPr>
                <m:e>
                  <m:sSub>
                    <m:e>
                      <m:r>
                        <m:t>μ</m:t>
                      </m:r>
                    </m:e>
                    <m:sub>
                      <m:r>
                        <m:t>1</m:t>
                      </m:r>
                    </m:sub>
                  </m:sSub>
                  <m:r>
                    <m:rPr>
                      <m:sty m:val="p"/>
                    </m:rPr>
                    <m:t>−</m:t>
                  </m:r>
                  <m:sSub>
                    <m:e>
                      <m:r>
                        <m:t>μ</m:t>
                      </m:r>
                    </m:e>
                    <m:sub>
                      <m:r>
                        <m:t>2</m:t>
                      </m:r>
                    </m:sub>
                  </m:sSub>
                </m:e>
              </m:d>
            </m:num>
            <m:den>
              <m:rad>
                <m:radPr>
                  <m:degHide m:val="on"/>
                </m:radPr>
                <m:deg/>
                <m:e>
                  <m:sSubSup>
                    <m:e>
                      <m:r>
                        <m:t>s</m:t>
                      </m:r>
                    </m:e>
                    <m:sub>
                      <m:r>
                        <m:t>1</m:t>
                      </m:r>
                    </m:sub>
                    <m:sup>
                      <m:r>
                        <m:t>2</m:t>
                      </m:r>
                    </m:sup>
                  </m:sSubSup>
                  <m:r>
                    <m:rPr>
                      <m:sty m:val="p"/>
                    </m:rPr>
                    <m:t>/</m:t>
                  </m:r>
                  <m:sSub>
                    <m:e>
                      <m:r>
                        <m:t>n</m:t>
                      </m:r>
                    </m:e>
                    <m:sub>
                      <m:r>
                        <m:t>1</m:t>
                      </m:r>
                    </m:sub>
                  </m:sSub>
                  <m:r>
                    <m:rPr>
                      <m:sty m:val="p"/>
                    </m:rPr>
                    <m:t>+</m:t>
                  </m:r>
                  <m:sSubSup>
                    <m:e>
                      <m:r>
                        <m:t>s</m:t>
                      </m:r>
                    </m:e>
                    <m:sub>
                      <m:r>
                        <m:t>2</m:t>
                      </m:r>
                    </m:sub>
                    <m:sup>
                      <m:r>
                        <m:t>2</m:t>
                      </m:r>
                    </m:sup>
                  </m:sSubSup>
                  <m:r>
                    <m:rPr>
                      <m:sty m:val="p"/>
                    </m:rPr>
                    <m:t>/</m:t>
                  </m:r>
                  <m:sSub>
                    <m:e>
                      <m:r>
                        <m:t>n</m:t>
                      </m:r>
                    </m:e>
                    <m:sub>
                      <m:r>
                        <m:t>2</m:t>
                      </m:r>
                    </m:sub>
                  </m:sSub>
                </m:e>
              </m:rad>
            </m:den>
          </m:f>
        </m:oMath>
      </m:oMathPara>
    </w:p>
    <w:p>
      <w:pPr>
        <w:spacing w:after="100"/>
      </w:pPr>
      <w:r>
        <w:rPr>
          <w:b w:val="0"/>
          <w:i w:val="0"/>
        </w:rPr>
        <w:t>Unfortunately, the distribution of this transformation is unknown.</w:t>
      </w:r>
    </w:p>
    <w:p>
      <w:pPr>
        <w:spacing w:after="100"/>
      </w:pPr>
      <w:r>
        <w:rPr>
          <w:b w:val="0"/>
          <w:i w:val="0"/>
        </w:rPr>
        <w:t>For large n1 and n2, the distribution of t can be approximated by the standard normal distribution (just like we did with proportions).</w:t>
      </w:r>
    </w:p>
    <w:p>
      <w:pPr>
        <w:spacing w:after="100"/>
      </w:pPr>
      <w:r>
        <w:rPr>
          <w:b w:val="0"/>
          <w:i w:val="0"/>
        </w:rPr>
        <w:t>For small n1 and n2, the distribution of t can be approximated by a t-distribution using a complicated formula for the degrees of freedom.</w:t>
      </w:r>
    </w:p>
    <w:p>
      <w:pPr>
        <w:spacing w:after="100"/>
      </w:pPr>
      <w:r>
        <w:rPr>
          <w:b w:val="0"/>
          <w:i w:val="0"/>
        </w:rPr>
        <w:t>For this class, we will only do problems where we can assume σ1² = σ2². As mentioned above, when this assumption is not satisfied there are methods of conducting a hypothesis test and constructing a confidence interval. These methods are most commonly applied with the utilization of statistical software.</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7"/>
      </w:rPr>
      <w:t>STA296U • Section 11 • StatsLG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