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rPr>
        <w:t>STA210U — Statistics</w:t>
      </w:r>
    </w:p>
    <w:p>
      <w:pPr>
        <w:pStyle w:val="Title"/>
        <w:jc w:val="center"/>
      </w:pPr>
      <w:r>
        <w:t>II. Descriptive Statistics</w:t>
      </w:r>
    </w:p>
    <w:p>
      <w:pPr>
        <w:jc w:val="center"/>
      </w:pPr>
      <w:r>
        <w:rPr>
          <w:b/>
          <w:color w:val="00467F"/>
          <w:sz w:val="30"/>
        </w:rPr>
        <w:t>D. Linear Correlation and Regression</w:t>
      </w:r>
    </w:p>
    <w:p>
      <w:pPr>
        <w:pStyle w:val="Heading1"/>
      </w:pPr>
      <w:r>
        <w:t>In This Section</w:t>
      </w:r>
    </w:p>
    <w:p>
      <w:pPr>
        <w:pStyle w:val="ListBullet"/>
      </w:pPr>
      <w:r>
        <w:t>Linear Correlation</w:t>
      </w:r>
    </w:p>
    <w:p>
      <w:pPr>
        <w:pStyle w:val="ListBullet"/>
      </w:pPr>
      <w:r>
        <w:t>Cause and Effect</w:t>
      </w:r>
    </w:p>
    <w:p>
      <w:pPr>
        <w:pStyle w:val="ListBullet"/>
      </w:pPr>
      <w:r>
        <w:t>Linear Regression</w:t>
      </w:r>
    </w:p>
    <w:p>
      <w:pPr>
        <w:pStyle w:val="Heading1"/>
      </w:pPr>
      <w:r>
        <w:t>1. Linear Correlation</w:t>
      </w:r>
    </w:p>
    <w:p>
      <w:pPr>
        <w:pStyle w:val="Heading2"/>
      </w:pPr>
      <w:r>
        <w:t>Quantifying Linear Correlation</w:t>
      </w:r>
    </w:p>
    <w:tbl>
      <w:tblPr>
        <w:tblW w:type="auto" w:w="0"/>
        <w:tblLook w:firstColumn="1" w:firstRow="1" w:lastColumn="0" w:lastRow="0" w:noHBand="0" w:noVBand="1" w:val="04A0"/>
      </w:tblPr>
      <w:tblGrid>
        <w:gridCol w:w="10166"/>
      </w:tblGrid>
      <w:tr>
        <w:tc>
          <w:tcPr>
            <w:tcW w:type="dxa" w:w="10166"/>
            <w:shd w:fill="F5F7FB"/>
          </w:tcPr>
          <w:p>
            <w:r>
              <w:rPr>
                <w:b/>
                <w:color w:val="00467F"/>
              </w:rPr>
              <w:t xml:space="preserve">Pearson Product-Moment Correlation Coefficient, r — </w:t>
            </w:r>
            <w:r>
              <w:t>describes the direction and strength of a linear relationship between two quantitative variables.</w:t>
            </w:r>
          </w:p>
        </w:tc>
      </w:tr>
    </w:tbl>
    <w:p/>
    <w:p>
      <w:r>
        <w:t>The value r describes only a linear relationship. Another type of relationship could still be present. You will not need to calculate r by hand, but the formula is:</w:t>
      </w:r>
    </w:p>
    <w:p>
      <w:pPr>
        <w:jc w:val="center"/>
      </w:pPr>
      <m:oMathPara>
        <m:oMath>
          <m:r>
            <m:t>r</m:t>
          </m:r>
          <m:r>
            <m:t>=</m:t>
          </m:r>
          <m:f>
            <m:num>
              <m:r>
                <m:t>SXY</m:t>
              </m:r>
            </m:num>
            <m:den>
              <m:r>
                <m:t>√(SSX SSY)</m:t>
              </m:r>
            </m:den>
          </m:f>
        </m:oMath>
      </m:oMathPara>
    </w:p>
    <w:p>
      <w:pPr>
        <w:jc w:val="center"/>
      </w:pPr>
      <m:oMathPara>
        <m:oMath>
          <m:r>
            <m:t>SSX</m:t>
          </m:r>
          <m:r>
            <m:t>=</m:t>
          </m:r>
          <m:r>
            <m:t>Σ</m:t>
          </m:r>
          <m:sSup>
            <m:e>
              <m:r>
                <m:t>(</m:t>
              </m:r>
              <m:r>
                <m:t>x</m:t>
              </m:r>
              <m:r>
                <m:t>−</m:t>
              </m:r>
              <m:bar>
                <m:e>
                  <m:r>
                    <m:t>x</m:t>
                  </m:r>
                </m:e>
              </m:bar>
              <m:r>
                <m:t>)</m:t>
              </m:r>
            </m:e>
            <m:sup>
              <m:r>
                <m:t>2</m:t>
              </m:r>
            </m:sup>
          </m:sSup>
          <m:r>
            <m:t>=</m:t>
          </m:r>
          <m:r>
            <m:t>Σ</m:t>
          </m:r>
          <m:sSup>
            <m:e>
              <m:r>
                <m:t>x</m:t>
              </m:r>
            </m:e>
            <m:sup>
              <m:r>
                <m:t>2</m:t>
              </m:r>
            </m:sup>
          </m:sSup>
          <m:r>
            <m:t>−</m:t>
          </m:r>
          <m:f>
            <m:num>
              <m:sSup>
                <m:e>
                  <m:r>
                    <m:t>Σ</m:t>
                  </m:r>
                  <m:r>
                    <m:t>x</m:t>
                  </m:r>
                </m:e>
                <m:sup>
                  <m:r>
                    <m:t>2</m:t>
                  </m:r>
                </m:sup>
              </m:sSup>
            </m:num>
            <m:den>
              <m:r>
                <m:t>n</m:t>
              </m:r>
            </m:den>
          </m:f>
        </m:oMath>
      </m:oMathPara>
    </w:p>
    <w:p>
      <w:pPr>
        <w:jc w:val="center"/>
      </w:pPr>
      <m:oMathPara>
        <m:oMath>
          <m:r>
            <m:t>SSY</m:t>
          </m:r>
          <m:r>
            <m:t>=</m:t>
          </m:r>
          <m:r>
            <m:t>Σ</m:t>
          </m:r>
          <m:sSup>
            <m:e>
              <m:r>
                <m:t>(</m:t>
              </m:r>
              <m:r>
                <m:t>y</m:t>
              </m:r>
              <m:r>
                <m:t>−</m:t>
              </m:r>
              <m:bar>
                <m:e>
                  <m:r>
                    <m:t>y</m:t>
                  </m:r>
                </m:e>
              </m:bar>
              <m:r>
                <m:t>)</m:t>
              </m:r>
            </m:e>
            <m:sup>
              <m:r>
                <m:t>2</m:t>
              </m:r>
            </m:sup>
          </m:sSup>
          <m:r>
            <m:t>=</m:t>
          </m:r>
          <m:r>
            <m:t>Σ</m:t>
          </m:r>
          <m:sSup>
            <m:e>
              <m:r>
                <m:t>y</m:t>
              </m:r>
            </m:e>
            <m:sup>
              <m:r>
                <m:t>2</m:t>
              </m:r>
            </m:sup>
          </m:sSup>
          <m:r>
            <m:t>−</m:t>
          </m:r>
          <m:f>
            <m:num>
              <m:sSup>
                <m:e>
                  <m:r>
                    <m:t>Σ</m:t>
                  </m:r>
                  <m:r>
                    <m:t>y</m:t>
                  </m:r>
                </m:e>
                <m:sup>
                  <m:r>
                    <m:t>2</m:t>
                  </m:r>
                </m:sup>
              </m:sSup>
            </m:num>
            <m:den>
              <m:r>
                <m:t>n</m:t>
              </m:r>
            </m:den>
          </m:f>
        </m:oMath>
      </m:oMathPara>
    </w:p>
    <w:p>
      <w:pPr>
        <w:jc w:val="center"/>
      </w:pPr>
      <m:oMathPara>
        <m:oMath>
          <m:r>
            <m:t>SXY</m:t>
          </m:r>
          <m:r>
            <m:t>=</m:t>
          </m:r>
          <m:r>
            <m:t>Σ</m:t>
          </m:r>
          <m:r>
            <m:t>(</m:t>
          </m:r>
          <m:r>
            <m:t>x</m:t>
          </m:r>
          <m:r>
            <m:t>−</m:t>
          </m:r>
          <m:bar>
            <m:e>
              <m:r>
                <m:t>x</m:t>
              </m:r>
            </m:e>
          </m:bar>
          <m:r>
            <m:t>)</m:t>
          </m:r>
          <m:r>
            <m:t>(</m:t>
          </m:r>
          <m:r>
            <m:t>y</m:t>
          </m:r>
          <m:r>
            <m:t>−</m:t>
          </m:r>
          <m:bar>
            <m:e>
              <m:r>
                <m:t>y</m:t>
              </m:r>
            </m:e>
          </m:bar>
          <m:r>
            <m:t>)</m:t>
          </m:r>
          <m:r>
            <m:t>=</m:t>
          </m:r>
          <m:r>
            <m:t>Σ</m:t>
          </m:r>
          <m:r>
            <m:t>xy</m:t>
          </m:r>
          <m:r>
            <m:t>−</m:t>
          </m:r>
          <m:f>
            <m:num>
              <m:r>
                <m:t>(</m:t>
              </m:r>
              <m:r>
                <m:t>Σ</m:t>
              </m:r>
              <m:r>
                <m:t>x</m:t>
              </m:r>
              <m:r>
                <m:t>)</m:t>
              </m:r>
              <m:r>
                <m:t>(</m:t>
              </m:r>
              <m:r>
                <m:t>Σ</m:t>
              </m:r>
              <m:r>
                <m:t>y</m:t>
              </m:r>
              <m:r>
                <m:t>)</m:t>
              </m:r>
            </m:num>
            <m:den>
              <m:r>
                <m:t>n</m:t>
              </m:r>
            </m:den>
          </m:f>
        </m:oMath>
      </m:oMathPara>
    </w:p>
    <w:p>
      <w:pPr>
        <w:pStyle w:val="Heading2"/>
      </w:pPr>
      <w:r>
        <w:t>Direction and Strength</w:t>
      </w:r>
    </w:p>
    <w:p>
      <w:r>
        <w:t>Positive r means larger X values tend to occur with larger Y values. Negative r means larger values of one variable tend to occur with smaller values of the other. Strength describes how close the points are to a line.</w:t>
      </w:r>
    </w:p>
    <w:p>
      <w:pPr>
        <w:jc w:val="center"/>
      </w:pPr>
      <m:oMathPara>
        <m:oMath>
          <m:r>
            <m:t>−1 ≤ r ≤ 1</m:t>
          </m:r>
        </m:oMath>
      </m:oMathPara>
    </w:p>
    <w:p>
      <w:pPr>
        <w:pStyle w:val="ListBullet"/>
      </w:pPr>
      <w:r>
        <w:t>r = 1: perfect positive linear correlation.</w:t>
      </w:r>
    </w:p>
    <w:p>
      <w:pPr>
        <w:pStyle w:val="ListBullet"/>
      </w:pPr>
      <w:r>
        <w:t>r = −1: perfect negative linear correlation.</w:t>
      </w:r>
    </w:p>
    <w:p>
      <w:pPr>
        <w:pStyle w:val="ListBullet"/>
      </w:pPr>
      <w:r>
        <w:t>r = 0: no linear relationship, although another type of relationship could still exist.</w:t>
      </w:r>
    </w:p>
    <w:p>
      <w:pPr>
        <w:pStyle w:val="ListBullet"/>
      </w:pPr>
      <w:r>
        <w:t>In this course, a relationship is generally considered strong when |r| ≥ .75.</w:t>
      </w:r>
    </w:p>
    <w:p>
      <w:pPr>
        <w:jc w:val="center"/>
      </w:pPr>
      <w:r>
        <w:drawing>
          <wp:inline xmlns:a="http://schemas.openxmlformats.org/drawingml/2006/main" xmlns:pic="http://schemas.openxmlformats.org/drawingml/2006/picture">
            <wp:extent cx="5669280" cy="4656239"/>
            <wp:docPr id="1" name="Picture 1"/>
            <wp:cNvGraphicFramePr>
              <a:graphicFrameLocks noChangeAspect="1"/>
            </wp:cNvGraphicFramePr>
            <a:graphic>
              <a:graphicData uri="http://schemas.openxmlformats.org/drawingml/2006/picture">
                <pic:pic>
                  <pic:nvPicPr>
                    <pic:cNvPr id="0" name="correlation_strength_direction.png"/>
                    <pic:cNvPicPr/>
                  </pic:nvPicPr>
                  <pic:blipFill>
                    <a:blip r:embed="rId9"/>
                    <a:stretch>
                      <a:fillRect/>
                    </a:stretch>
                  </pic:blipFill>
                  <pic:spPr>
                    <a:xfrm>
                      <a:off x="0" y="0"/>
                      <a:ext cx="5669280" cy="4656239"/>
                    </a:xfrm>
                    <a:prstGeom prst="rect"/>
                  </pic:spPr>
                </pic:pic>
              </a:graphicData>
            </a:graphic>
          </wp:inline>
        </w:drawing>
      </w:r>
    </w:p>
    <w:p>
      <w:pPr>
        <w:jc w:val="center"/>
      </w:pPr>
      <w:r>
        <w:rPr>
          <w:i/>
          <w:color w:val="4B5563"/>
          <w:sz w:val="18"/>
        </w:rPr>
        <w:t>Direction and Strength of Linear Correlation</w:t>
      </w:r>
    </w:p>
    <w:p>
      <w:pPr>
        <w:pStyle w:val="Heading2"/>
      </w:pPr>
      <w:r>
        <w:t>Drug Dosage Example</w:t>
      </w:r>
    </w:p>
    <w:tbl>
      <w:tblPr>
        <w:tblStyle w:val="TableGrid"/>
        <w:tblW w:type="auto" w:w="0"/>
        <w:jc w:val="center"/>
        <w:tblLook w:firstColumn="1" w:firstRow="1" w:lastColumn="0" w:lastRow="0" w:noHBand="0" w:noVBand="1" w:val="04A0"/>
      </w:tblPr>
      <w:tblGrid>
        <w:gridCol w:w="5083"/>
        <w:gridCol w:w="5083"/>
      </w:tblGrid>
      <w:tr>
        <w:tc>
          <w:tcPr>
            <w:tcW w:type="dxa" w:w="5083"/>
            <w:shd w:fill="00467F"/>
          </w:tcPr>
          <w:p>
            <w:r>
              <w:rPr>
                <w:b/>
                <w:color w:val="FFFFFF"/>
              </w:rPr>
              <w:t>Dosage of Drug, X</w:t>
            </w:r>
          </w:p>
        </w:tc>
        <w:tc>
          <w:tcPr>
            <w:tcW w:type="dxa" w:w="5083"/>
            <w:shd w:fill="00467F"/>
          </w:tcPr>
          <w:p>
            <w:r>
              <w:rPr>
                <w:b/>
                <w:color w:val="FFFFFF"/>
              </w:rPr>
              <w:t>Reduction in Blood Pressure, Y</w:t>
            </w:r>
          </w:p>
        </w:tc>
      </w:tr>
      <w:tr>
        <w:tc>
          <w:tcPr>
            <w:tcW w:type="dxa" w:w="5083"/>
          </w:tcPr>
          <w:p>
            <w:r>
              <w:t>100</w:t>
            </w:r>
          </w:p>
        </w:tc>
        <w:tc>
          <w:tcPr>
            <w:tcW w:type="dxa" w:w="5083"/>
          </w:tcPr>
          <w:p>
            <w:r>
              <w:t>10</w:t>
            </w:r>
          </w:p>
        </w:tc>
      </w:tr>
      <w:tr>
        <w:tc>
          <w:tcPr>
            <w:tcW w:type="dxa" w:w="5083"/>
          </w:tcPr>
          <w:p>
            <w:r>
              <w:t>200</w:t>
            </w:r>
          </w:p>
        </w:tc>
        <w:tc>
          <w:tcPr>
            <w:tcW w:type="dxa" w:w="5083"/>
          </w:tcPr>
          <w:p>
            <w:r>
              <w:t>18</w:t>
            </w:r>
          </w:p>
        </w:tc>
      </w:tr>
      <w:tr>
        <w:tc>
          <w:tcPr>
            <w:tcW w:type="dxa" w:w="5083"/>
          </w:tcPr>
          <w:p>
            <w:r>
              <w:t>300</w:t>
            </w:r>
          </w:p>
        </w:tc>
        <w:tc>
          <w:tcPr>
            <w:tcW w:type="dxa" w:w="5083"/>
          </w:tcPr>
          <w:p>
            <w:r>
              <w:t>32</w:t>
            </w:r>
          </w:p>
        </w:tc>
      </w:tr>
      <w:tr>
        <w:tc>
          <w:tcPr>
            <w:tcW w:type="dxa" w:w="5083"/>
          </w:tcPr>
          <w:p>
            <w:r>
              <w:t>400</w:t>
            </w:r>
          </w:p>
        </w:tc>
        <w:tc>
          <w:tcPr>
            <w:tcW w:type="dxa" w:w="5083"/>
          </w:tcPr>
          <w:p>
            <w:r>
              <w:t>44</w:t>
            </w:r>
          </w:p>
        </w:tc>
      </w:tr>
      <w:tr>
        <w:tc>
          <w:tcPr>
            <w:tcW w:type="dxa" w:w="5083"/>
          </w:tcPr>
          <w:p>
            <w:r>
              <w:t>500</w:t>
            </w:r>
          </w:p>
        </w:tc>
        <w:tc>
          <w:tcPr>
            <w:tcW w:type="dxa" w:w="5083"/>
          </w:tcPr>
          <w:p>
            <w:r>
              <w:t>56</w:t>
            </w:r>
          </w:p>
        </w:tc>
      </w:tr>
    </w:tbl>
    <w:p/>
    <w:p>
      <w:r>
        <w:t>The scatterplot indicates a very strong positive linear relationship.</w:t>
      </w:r>
    </w:p>
    <w:p>
      <w:pPr>
        <w:jc w:val="center"/>
      </w:pPr>
      <m:oMathPara>
        <m:oMath>
          <m:r>
            <m:t>r = .99728</m:t>
          </m:r>
        </m:oMath>
      </m:oMathPara>
    </w:p>
    <w:p>
      <w:pPr>
        <w:pStyle w:val="Heading2"/>
      </w:pPr>
      <w:r>
        <w:t>R-Squared</w:t>
      </w:r>
    </w:p>
    <w:tbl>
      <w:tblPr>
        <w:tblW w:type="auto" w:w="0"/>
        <w:tblLook w:firstColumn="1" w:firstRow="1" w:lastColumn="0" w:lastRow="0" w:noHBand="0" w:noVBand="1" w:val="04A0"/>
      </w:tblPr>
      <w:tblGrid>
        <w:gridCol w:w="10166"/>
      </w:tblGrid>
      <w:tr>
        <w:tc>
          <w:tcPr>
            <w:tcW w:type="dxa" w:w="10166"/>
            <w:shd w:fill="F5F7FB"/>
          </w:tcPr>
          <w:p>
            <w:r>
              <w:rPr>
                <w:b/>
                <w:color w:val="00467F"/>
              </w:rPr>
              <w:t xml:space="preserve">R² — </w:t>
            </w:r>
            <w:r>
              <w:t>the percent of variation in Y explained by the model. In simple linear regression, R² = r².</w:t>
            </w:r>
          </w:p>
        </w:tc>
      </w:tr>
    </w:tbl>
    <w:p/>
    <w:p>
      <w:pPr>
        <w:jc w:val="center"/>
      </w:pPr>
      <m:oMathPara>
        <m:oMath>
          <m:r>
            <m:t>0% ≤ R² ≤ 100%</m:t>
          </m:r>
        </m:oMath>
      </m:oMathPara>
    </w:p>
    <w:p>
      <w:pPr>
        <w:jc w:val="center"/>
      </w:pPr>
      <m:oMathPara>
        <m:oMath>
          <m:sSup>
            <m:e>
              <m:r>
                <m:t>R</m:t>
              </m:r>
            </m:e>
            <m:sup>
              <m:r>
                <m:t>2</m:t>
              </m:r>
            </m:sup>
          </m:sSup>
          <m:r>
            <m:t>=</m:t>
          </m:r>
          <m:sSup>
            <m:e>
              <m:r>
                <m:t>(</m:t>
              </m:r>
              <m:r>
                <m:t>.99728</m:t>
              </m:r>
              <m:r>
                <m:t>)</m:t>
              </m:r>
            </m:e>
            <m:sup>
              <m:r>
                <m:t>2</m:t>
              </m:r>
            </m:sup>
          </m:sSup>
          <m:r>
            <m:t>≈</m:t>
          </m:r>
          <m:r>
            <m:t>.995</m:t>
          </m:r>
          <m:r>
            <m:t>=</m:t>
          </m:r>
          <m:r>
            <m:t>99.5%</m:t>
          </m:r>
        </m:oMath>
      </m:oMathPara>
    </w:p>
    <w:p>
      <w:pPr>
        <w:pStyle w:val="Heading1"/>
      </w:pPr>
      <w:r>
        <w:t>2. Cause and Effect</w:t>
      </w:r>
    </w:p>
    <w:tbl>
      <w:tblPr>
        <w:tblW w:type="auto" w:w="0"/>
        <w:tblLook w:firstColumn="1" w:firstRow="1" w:lastColumn="0" w:lastRow="0" w:noHBand="0" w:noVBand="1" w:val="04A0"/>
      </w:tblPr>
      <w:tblGrid>
        <w:gridCol w:w="10166"/>
      </w:tblGrid>
      <w:tr>
        <w:tc>
          <w:tcPr>
            <w:tcW w:type="dxa" w:w="10166"/>
            <w:shd w:fill="F5F7FB"/>
          </w:tcPr>
          <w:p>
            <w:r>
              <w:rPr>
                <w:b/>
                <w:color w:val="00467F"/>
              </w:rPr>
              <w:t xml:space="preserve">“Causal” Research — </w:t>
            </w:r>
            <w:r>
              <w:t>research whose objective is to determine whether one variable causes changes in another.</w:t>
            </w:r>
          </w:p>
        </w:tc>
      </w:tr>
    </w:tbl>
    <w:p/>
    <w:p>
      <w:r>
        <w:t>Correlation does not imply causation. It is never possible to prove causality just from the relationship between two variables.</w:t>
      </w:r>
    </w:p>
    <w:p>
      <w:pPr>
        <w:pStyle w:val="Heading2"/>
      </w:pPr>
      <w:r>
        <w:t>Ice Cream and Assaults</w:t>
      </w:r>
    </w:p>
    <w:p>
      <w:r>
        <w:t>The notes give an example of a strong correlation between ice cream consumption and assaults over the months of the year. This does not mean ice cream causes crime. Hot summer temperatures can increase both variables.</w:t>
      </w:r>
    </w:p>
    <w:p>
      <w:pPr>
        <w:pStyle w:val="Heading2"/>
      </w:pPr>
      <w:r>
        <w:t>Criteria for Establishing a Causal Relationship</w:t>
      </w:r>
    </w:p>
    <w:p>
      <w:pPr>
        <w:pStyle w:val="ListNumber"/>
      </w:pPr>
      <w:r>
        <w:t>Time order — the cause must occur before the effect.</w:t>
      </w:r>
    </w:p>
    <w:p>
      <w:pPr>
        <w:pStyle w:val="ListNumber"/>
      </w:pPr>
      <w:r>
        <w:t>Co-variation — the graph and correlation coefficient must show a strong relationship.</w:t>
      </w:r>
    </w:p>
    <w:p>
      <w:pPr>
        <w:pStyle w:val="ListNumber"/>
      </w:pPr>
      <w:r>
        <w:t>Rationale — there must be a logical and compelling explanation for the causal mechanism.</w:t>
      </w:r>
    </w:p>
    <w:p>
      <w:pPr>
        <w:pStyle w:val="ListNumber"/>
      </w:pPr>
      <w:r>
        <w:t>Non-spuriousness — rival explanations must be ruled out.</w:t>
      </w:r>
    </w:p>
    <w:p>
      <w:r>
        <w:t>The fourth criterion is especially difficult. Repeating studies under differing conditions can help rule out rival explanations.</w:t>
      </w:r>
    </w:p>
    <w:p>
      <w:pPr>
        <w:pStyle w:val="Heading1"/>
      </w:pPr>
      <w:r>
        <w:t>3. Linear Regression</w:t>
      </w:r>
    </w:p>
    <w:tbl>
      <w:tblPr>
        <w:tblW w:type="auto" w:w="0"/>
        <w:tblLook w:firstColumn="1" w:firstRow="1" w:lastColumn="0" w:lastRow="0" w:noHBand="0" w:noVBand="1" w:val="04A0"/>
      </w:tblPr>
      <w:tblGrid>
        <w:gridCol w:w="10166"/>
      </w:tblGrid>
      <w:tr>
        <w:tc>
          <w:tcPr>
            <w:tcW w:type="dxa" w:w="10166"/>
            <w:shd w:fill="F5F7FB"/>
          </w:tcPr>
          <w:p>
            <w:r>
              <w:rPr>
                <w:b/>
                <w:color w:val="00467F"/>
              </w:rPr>
              <w:t xml:space="preserve">Deterministic View — </w:t>
            </w:r>
            <w:r>
              <w:t>once X is known, the exact value of Y is known.</w:t>
            </w:r>
          </w:p>
        </w:tc>
      </w:tr>
    </w:tbl>
    <w:p/>
    <w:tbl>
      <w:tblPr>
        <w:tblW w:type="auto" w:w="0"/>
        <w:tblLook w:firstColumn="1" w:firstRow="1" w:lastColumn="0" w:lastRow="0" w:noHBand="0" w:noVBand="1" w:val="04A0"/>
      </w:tblPr>
      <w:tblGrid>
        <w:gridCol w:w="10166"/>
      </w:tblGrid>
      <w:tr>
        <w:tc>
          <w:tcPr>
            <w:tcW w:type="dxa" w:w="10166"/>
            <w:shd w:fill="F5F7FB"/>
          </w:tcPr>
          <w:p>
            <w:r>
              <w:rPr>
                <w:b/>
                <w:color w:val="00467F"/>
              </w:rPr>
              <w:t xml:space="preserve">Regression — </w:t>
            </w:r>
            <w:r>
              <w:t>a technique used to predict variables based on other variables.</w:t>
            </w:r>
          </w:p>
        </w:tc>
      </w:tr>
    </w:tbl>
    <w:p/>
    <w:tbl>
      <w:tblPr>
        <w:tblW w:type="auto" w:w="0"/>
        <w:tblLook w:firstColumn="1" w:firstRow="1" w:lastColumn="0" w:lastRow="0" w:noHBand="0" w:noVBand="1" w:val="04A0"/>
      </w:tblPr>
      <w:tblGrid>
        <w:gridCol w:w="10166"/>
      </w:tblGrid>
      <w:tr>
        <w:tc>
          <w:tcPr>
            <w:tcW w:type="dxa" w:w="10166"/>
            <w:shd w:fill="F5F7FB"/>
          </w:tcPr>
          <w:p>
            <w:r>
              <w:rPr>
                <w:b/>
                <w:color w:val="00467F"/>
              </w:rPr>
              <w:t xml:space="preserve">Linear Regression — </w:t>
            </w:r>
            <w:r>
              <w:t>predicts Y, the response variable, from X, the explanatory variable, using a linear equation.</w:t>
            </w:r>
          </w:p>
        </w:tc>
      </w:tr>
    </w:tbl>
    <w:p/>
    <w:p>
      <w:r>
        <w:t>Prediction is not exact. The error is represented by the vertical distance between a point and the regression line.</w:t>
      </w:r>
    </w:p>
    <w:p>
      <w:pPr>
        <w:jc w:val="center"/>
      </w:pPr>
      <m:oMathPara>
        <m:oMath>
          <m:r>
            <m:t>Ŷ = b₀ + b₁X</m:t>
          </m:r>
        </m:oMath>
      </m:oMathPara>
    </w:p>
    <w:p>
      <w:pPr>
        <w:pStyle w:val="ListBullet"/>
      </w:pPr>
      <w:r>
        <w:t>b₀ is the y-intercept.</w:t>
      </w:r>
    </w:p>
    <w:p>
      <w:pPr>
        <w:pStyle w:val="ListBullet"/>
      </w:pPr>
      <w:r>
        <w:t>b₁ is the slope.</w:t>
      </w:r>
    </w:p>
    <w:p>
      <w:r>
        <w:t>Before fitting a line, the scatterplot and r should indicate that a linear model is reasonable.</w:t>
      </w:r>
    </w:p>
    <w:p>
      <w:pPr>
        <w:pStyle w:val="Heading2"/>
      </w:pPr>
      <w:r>
        <w:t>Method of Least Squares</w:t>
      </w:r>
    </w:p>
    <w:tbl>
      <w:tblPr>
        <w:tblW w:type="auto" w:w="0"/>
        <w:tblLook w:firstColumn="1" w:firstRow="1" w:lastColumn="0" w:lastRow="0" w:noHBand="0" w:noVBand="1" w:val="04A0"/>
      </w:tblPr>
      <w:tblGrid>
        <w:gridCol w:w="10166"/>
      </w:tblGrid>
      <w:tr>
        <w:tc>
          <w:tcPr>
            <w:tcW w:type="dxa" w:w="10166"/>
            <w:shd w:fill="F5F7FB"/>
          </w:tcPr>
          <w:p>
            <w:r>
              <w:rPr>
                <w:b/>
                <w:color w:val="00467F"/>
              </w:rPr>
              <w:t xml:space="preserve">Method of Least Squares — </w:t>
            </w:r>
            <w:r>
              <w:t>minimizes the sum of the squared vertical distances from the observed points to the regression line.</w:t>
            </w:r>
          </w:p>
        </w:tc>
      </w:tr>
    </w:tbl>
    <w:p/>
    <w:p>
      <w:pPr>
        <w:jc w:val="center"/>
      </w:pPr>
      <m:oMathPara>
        <m:oMath>
          <m:r>
            <m:t>b₁</m:t>
          </m:r>
          <m:r>
            <m:t>=</m:t>
          </m:r>
          <m:f>
            <m:num>
              <m:r>
                <m:t>SXY</m:t>
              </m:r>
            </m:num>
            <m:den>
              <m:r>
                <m:t>SSX</m:t>
              </m:r>
            </m:den>
          </m:f>
        </m:oMath>
      </m:oMathPara>
    </w:p>
    <w:p>
      <w:pPr>
        <w:jc w:val="center"/>
      </w:pPr>
      <m:oMathPara>
        <m:oMath>
          <m:r>
            <m:t>b₀</m:t>
          </m:r>
          <m:r>
            <m:t>=</m:t>
          </m:r>
          <m:bar>
            <m:e>
              <m:r>
                <m:t>y</m:t>
              </m:r>
            </m:e>
          </m:bar>
          <m:r>
            <m:t>−</m:t>
          </m:r>
          <m:r>
            <m:t>b₁</m:t>
          </m:r>
          <m:bar>
            <m:e>
              <m:r>
                <m:t>x</m:t>
              </m:r>
            </m:e>
          </m:bar>
        </m:oMath>
      </m:oMathPara>
    </w:p>
    <w:p>
      <w:pPr>
        <w:pStyle w:val="Heading2"/>
      </w:pPr>
      <w:r>
        <w:t>Drug Dosage Regression</w:t>
      </w:r>
    </w:p>
    <w:p>
      <w:pPr>
        <w:jc w:val="center"/>
      </w:pPr>
      <m:oMathPara>
        <m:oMath>
          <m:r>
            <m:t>b₁ = .118       b₀ = −3.4</m:t>
          </m:r>
        </m:oMath>
      </m:oMathPara>
    </w:p>
    <w:p>
      <w:pPr>
        <w:jc w:val="center"/>
      </w:pPr>
      <m:oMathPara>
        <m:oMath>
          <m:r>
            <m:t>Ŷ = −3.4 + .118X</m:t>
          </m:r>
        </m:oMath>
      </m:oMathPara>
    </w:p>
    <w:p>
      <w:pPr>
        <w:jc w:val="center"/>
      </w:pPr>
      <w:r>
        <w:drawing>
          <wp:inline xmlns:a="http://schemas.openxmlformats.org/drawingml/2006/main" xmlns:pic="http://schemas.openxmlformats.org/drawingml/2006/picture">
            <wp:extent cx="5394960" cy="3726044"/>
            <wp:docPr id="2" name="Picture 2"/>
            <wp:cNvGraphicFramePr>
              <a:graphicFrameLocks noChangeAspect="1"/>
            </wp:cNvGraphicFramePr>
            <a:graphic>
              <a:graphicData uri="http://schemas.openxmlformats.org/drawingml/2006/picture">
                <pic:pic>
                  <pic:nvPicPr>
                    <pic:cNvPr id="0" name="drug_regression_plot.png"/>
                    <pic:cNvPicPr/>
                  </pic:nvPicPr>
                  <pic:blipFill>
                    <a:blip r:embed="rId10"/>
                    <a:stretch>
                      <a:fillRect/>
                    </a:stretch>
                  </pic:blipFill>
                  <pic:spPr>
                    <a:xfrm>
                      <a:off x="0" y="0"/>
                      <a:ext cx="5394960" cy="3726044"/>
                    </a:xfrm>
                    <a:prstGeom prst="rect"/>
                  </pic:spPr>
                </pic:pic>
              </a:graphicData>
            </a:graphic>
          </wp:inline>
        </w:drawing>
      </w:r>
    </w:p>
    <w:p>
      <w:pPr>
        <w:jc w:val="center"/>
      </w:pPr>
      <w:r>
        <w:rPr>
          <w:i/>
          <w:color w:val="4B5563"/>
          <w:sz w:val="18"/>
        </w:rPr>
        <w:t>Regression Plot for Drug Dosage and Reduction in Blood Pressure</w:t>
      </w:r>
    </w:p>
    <w:p>
      <w:r>
        <w:t>If R² is provided instead of r, take the square root of R² and use the sign of the slope to determine whether r is positive or negative.</w:t>
      </w:r>
    </w:p>
    <w:p>
      <w:pPr>
        <w:pStyle w:val="Heading3"/>
      </w:pPr>
      <w:r>
        <w:t>Prediction Example</w:t>
      </w:r>
    </w:p>
    <w:p>
      <w:r>
        <w:t>Predict reduction in blood pressure if dosage is 250.</w:t>
      </w:r>
    </w:p>
    <w:p>
      <w:pPr>
        <w:jc w:val="center"/>
      </w:pPr>
      <m:oMathPara>
        <m:oMath>
          <m:r>
            <m:t>Ŷ = −3.4 + .118(250) = 26.1</m:t>
          </m:r>
        </m:oMath>
      </m:oMathPara>
    </w:p>
    <w:p>
      <w:pPr>
        <w:pStyle w:val="Heading2"/>
      </w:pPr>
      <w:r>
        <w:t>Automobile Weight and Gas Mileage</w:t>
      </w:r>
    </w:p>
    <w:tbl>
      <w:tblPr>
        <w:tblStyle w:val="TableGrid"/>
        <w:tblW w:type="auto" w:w="0"/>
        <w:jc w:val="center"/>
        <w:tblLook w:firstColumn="1" w:firstRow="1" w:lastColumn="0" w:lastRow="0" w:noHBand="0" w:noVBand="1" w:val="04A0"/>
      </w:tblPr>
      <w:tblGrid>
        <w:gridCol w:w="5083"/>
        <w:gridCol w:w="5083"/>
      </w:tblGrid>
      <w:tr>
        <w:tc>
          <w:tcPr>
            <w:tcW w:type="dxa" w:w="5083"/>
            <w:shd w:fill="00467F"/>
          </w:tcPr>
          <w:p>
            <w:r>
              <w:rPr>
                <w:b/>
                <w:color w:val="FFFFFF"/>
              </w:rPr>
              <w:t>Weight, X (1000 lb)</w:t>
            </w:r>
          </w:p>
        </w:tc>
        <w:tc>
          <w:tcPr>
            <w:tcW w:type="dxa" w:w="5083"/>
            <w:shd w:fill="00467F"/>
          </w:tcPr>
          <w:p>
            <w:r>
              <w:rPr>
                <w:b/>
                <w:color w:val="FFFFFF"/>
              </w:rPr>
              <w:t>Gas Mileage, Y (mpg)</w:t>
            </w:r>
          </w:p>
        </w:tc>
      </w:tr>
      <w:tr>
        <w:tc>
          <w:tcPr>
            <w:tcW w:type="dxa" w:w="5083"/>
          </w:tcPr>
          <w:p>
            <w:r>
              <w:t>2.5</w:t>
            </w:r>
          </w:p>
        </w:tc>
        <w:tc>
          <w:tcPr>
            <w:tcW w:type="dxa" w:w="5083"/>
          </w:tcPr>
          <w:p>
            <w:r>
              <w:t>40</w:t>
            </w:r>
          </w:p>
        </w:tc>
      </w:tr>
      <w:tr>
        <w:tc>
          <w:tcPr>
            <w:tcW w:type="dxa" w:w="5083"/>
          </w:tcPr>
          <w:p>
            <w:r>
              <w:t>3.0</w:t>
            </w:r>
          </w:p>
        </w:tc>
        <w:tc>
          <w:tcPr>
            <w:tcW w:type="dxa" w:w="5083"/>
          </w:tcPr>
          <w:p>
            <w:r>
              <w:t>43</w:t>
            </w:r>
          </w:p>
        </w:tc>
      </w:tr>
      <w:tr>
        <w:tc>
          <w:tcPr>
            <w:tcW w:type="dxa" w:w="5083"/>
          </w:tcPr>
          <w:p>
            <w:r>
              <w:t>4.0</w:t>
            </w:r>
          </w:p>
        </w:tc>
        <w:tc>
          <w:tcPr>
            <w:tcW w:type="dxa" w:w="5083"/>
          </w:tcPr>
          <w:p>
            <w:r>
              <w:t>30</w:t>
            </w:r>
          </w:p>
        </w:tc>
      </w:tr>
      <w:tr>
        <w:tc>
          <w:tcPr>
            <w:tcW w:type="dxa" w:w="5083"/>
          </w:tcPr>
          <w:p>
            <w:r>
              <w:t>3.5</w:t>
            </w:r>
          </w:p>
        </w:tc>
        <w:tc>
          <w:tcPr>
            <w:tcW w:type="dxa" w:w="5083"/>
          </w:tcPr>
          <w:p>
            <w:r>
              <w:t>35</w:t>
            </w:r>
          </w:p>
        </w:tc>
      </w:tr>
      <w:tr>
        <w:tc>
          <w:tcPr>
            <w:tcW w:type="dxa" w:w="5083"/>
          </w:tcPr>
          <w:p>
            <w:r>
              <w:t>2.7</w:t>
            </w:r>
          </w:p>
        </w:tc>
        <w:tc>
          <w:tcPr>
            <w:tcW w:type="dxa" w:w="5083"/>
          </w:tcPr>
          <w:p>
            <w:r>
              <w:t>42</w:t>
            </w:r>
          </w:p>
        </w:tc>
      </w:tr>
      <w:tr>
        <w:tc>
          <w:tcPr>
            <w:tcW w:type="dxa" w:w="5083"/>
          </w:tcPr>
          <w:p>
            <w:r>
              <w:t>4.5</w:t>
            </w:r>
          </w:p>
        </w:tc>
        <w:tc>
          <w:tcPr>
            <w:tcW w:type="dxa" w:w="5083"/>
          </w:tcPr>
          <w:p>
            <w:r>
              <w:t>19</w:t>
            </w:r>
          </w:p>
        </w:tc>
      </w:tr>
      <w:tr>
        <w:tc>
          <w:tcPr>
            <w:tcW w:type="dxa" w:w="5083"/>
          </w:tcPr>
          <w:p>
            <w:r>
              <w:t>3.8</w:t>
            </w:r>
          </w:p>
        </w:tc>
        <w:tc>
          <w:tcPr>
            <w:tcW w:type="dxa" w:w="5083"/>
          </w:tcPr>
          <w:p>
            <w:r>
              <w:t>32</w:t>
            </w:r>
          </w:p>
        </w:tc>
      </w:tr>
      <w:tr>
        <w:tc>
          <w:tcPr>
            <w:tcW w:type="dxa" w:w="5083"/>
          </w:tcPr>
          <w:p>
            <w:r>
              <w:t>2.9</w:t>
            </w:r>
          </w:p>
        </w:tc>
        <w:tc>
          <w:tcPr>
            <w:tcW w:type="dxa" w:w="5083"/>
          </w:tcPr>
          <w:p>
            <w:r>
              <w:t>39</w:t>
            </w:r>
          </w:p>
        </w:tc>
      </w:tr>
      <w:tr>
        <w:tc>
          <w:tcPr>
            <w:tcW w:type="dxa" w:w="5083"/>
          </w:tcPr>
          <w:p>
            <w:r>
              <w:t>5.0</w:t>
            </w:r>
          </w:p>
        </w:tc>
        <w:tc>
          <w:tcPr>
            <w:tcW w:type="dxa" w:w="5083"/>
          </w:tcPr>
          <w:p>
            <w:r>
              <w:t>15</w:t>
            </w:r>
          </w:p>
        </w:tc>
      </w:tr>
      <w:tr>
        <w:tc>
          <w:tcPr>
            <w:tcW w:type="dxa" w:w="5083"/>
          </w:tcPr>
          <w:p>
            <w:r>
              <w:t>2.2</w:t>
            </w:r>
          </w:p>
        </w:tc>
        <w:tc>
          <w:tcPr>
            <w:tcW w:type="dxa" w:w="5083"/>
          </w:tcPr>
          <w:p>
            <w:r>
              <w:t>44</w:t>
            </w:r>
          </w:p>
        </w:tc>
      </w:tr>
    </w:tbl>
    <w:p/>
    <w:p>
      <w:pPr>
        <w:jc w:val="center"/>
      </w:pPr>
      <w:r>
        <w:drawing>
          <wp:inline xmlns:a="http://schemas.openxmlformats.org/drawingml/2006/main" xmlns:pic="http://schemas.openxmlformats.org/drawingml/2006/picture">
            <wp:extent cx="5394960" cy="3726044"/>
            <wp:docPr id="3" name="Picture 3"/>
            <wp:cNvGraphicFramePr>
              <a:graphicFrameLocks noChangeAspect="1"/>
            </wp:cNvGraphicFramePr>
            <a:graphic>
              <a:graphicData uri="http://schemas.openxmlformats.org/drawingml/2006/picture">
                <pic:pic>
                  <pic:nvPicPr>
                    <pic:cNvPr id="0" name="automobile_regression_plot.png"/>
                    <pic:cNvPicPr/>
                  </pic:nvPicPr>
                  <pic:blipFill>
                    <a:blip r:embed="rId11"/>
                    <a:stretch>
                      <a:fillRect/>
                    </a:stretch>
                  </pic:blipFill>
                  <pic:spPr>
                    <a:xfrm>
                      <a:off x="0" y="0"/>
                      <a:ext cx="5394960" cy="3726044"/>
                    </a:xfrm>
                    <a:prstGeom prst="rect"/>
                  </pic:spPr>
                </pic:pic>
              </a:graphicData>
            </a:graphic>
          </wp:inline>
        </w:drawing>
      </w:r>
    </w:p>
    <w:p>
      <w:pPr>
        <w:jc w:val="center"/>
      </w:pPr>
      <w:r>
        <w:rPr>
          <w:i/>
          <w:color w:val="4B5563"/>
          <w:sz w:val="18"/>
        </w:rPr>
        <w:t>Regression Plot: Automobile Weight vs. Gas Mileage</w:t>
      </w:r>
    </w:p>
    <w:p>
      <w:pPr>
        <w:jc w:val="center"/>
      </w:pPr>
      <m:oMathPara>
        <m:oMath>
          <m:r>
            <m:t>R² = 92.0%</m:t>
          </m:r>
        </m:oMath>
      </m:oMathPara>
    </w:p>
    <w:p>
      <w:pPr>
        <w:jc w:val="center"/>
      </w:pPr>
      <m:oMathPara>
        <m:oMath>
          <m:r>
            <m:t>Ŷ = 70.1058 − 10.6175X</m:t>
          </m:r>
        </m:oMath>
      </m:oMathPara>
    </w:p>
    <w:p>
      <w:pPr>
        <w:pStyle w:val="Heading3"/>
      </w:pPr>
      <w:r>
        <w:t>Questions and Answers</w:t>
      </w:r>
    </w:p>
    <w:p>
      <w:r>
        <w:t>1. Calculate r. Because the slope is negative:</w:t>
      </w:r>
    </w:p>
    <w:p>
      <w:pPr>
        <w:jc w:val="center"/>
      </w:pPr>
      <m:oMathPara>
        <m:oMath>
          <m:r>
            <m:t>r</m:t>
          </m:r>
          <m:r>
            <m:t>=</m:t>
          </m:r>
          <m:r>
            <m:t>−</m:t>
          </m:r>
          <m:r>
            <m:t>√(.92)</m:t>
          </m:r>
          <m:r>
            <m:t>≈</m:t>
          </m:r>
          <m:r>
            <m:t>−.959</m:t>
          </m:r>
        </m:oMath>
      </m:oMathPara>
    </w:p>
    <w:p>
      <w:r>
        <w:t>2. Yes. Linear regression is justified because |r| ≥ .75 and the scatterplot is reasonably linear.</w:t>
      </w:r>
    </w:p>
    <w:p>
      <w:r>
        <w:t>3. For a car weighing 4.2 thousand pounds:</w:t>
      </w:r>
    </w:p>
    <w:p>
      <w:pPr>
        <w:jc w:val="center"/>
      </w:pPr>
      <m:oMathPara>
        <m:oMath>
          <m:r>
            <m:t>Ŷ = 70.1058 − 10.6175(4.2) ≈ 25.512</m:t>
          </m:r>
        </m:oMath>
      </m:oMathPara>
    </w:p>
    <w:p>
      <w:pPr>
        <w:pStyle w:val="Heading2"/>
      </w:pPr>
      <w:r>
        <w:t>Cautions with Regression</w:t>
      </w:r>
    </w:p>
    <w:tbl>
      <w:tblPr>
        <w:tblW w:type="auto" w:w="0"/>
        <w:tblLook w:firstColumn="1" w:firstRow="1" w:lastColumn="0" w:lastRow="0" w:noHBand="0" w:noVBand="1" w:val="04A0"/>
      </w:tblPr>
      <w:tblGrid>
        <w:gridCol w:w="10166"/>
      </w:tblGrid>
      <w:tr>
        <w:tc>
          <w:tcPr>
            <w:tcW w:type="dxa" w:w="10166"/>
            <w:shd w:fill="F5F7FB"/>
          </w:tcPr>
          <w:p>
            <w:r>
              <w:rPr>
                <w:b/>
                <w:color w:val="00467F"/>
              </w:rPr>
              <w:t xml:space="preserve">Interpolation — </w:t>
            </w:r>
            <w:r>
              <w:t>predicting Y for X values within the observed range.</w:t>
            </w:r>
          </w:p>
        </w:tc>
      </w:tr>
    </w:tbl>
    <w:p/>
    <w:tbl>
      <w:tblPr>
        <w:tblW w:type="auto" w:w="0"/>
        <w:tblLook w:firstColumn="1" w:firstRow="1" w:lastColumn="0" w:lastRow="0" w:noHBand="0" w:noVBand="1" w:val="04A0"/>
      </w:tblPr>
      <w:tblGrid>
        <w:gridCol w:w="10166"/>
      </w:tblGrid>
      <w:tr>
        <w:tc>
          <w:tcPr>
            <w:tcW w:type="dxa" w:w="10166"/>
            <w:shd w:fill="F5F7FB"/>
          </w:tcPr>
          <w:p>
            <w:r>
              <w:rPr>
                <w:b/>
                <w:color w:val="00467F"/>
              </w:rPr>
              <w:t xml:space="preserve">Extrapolation — </w:t>
            </w:r>
            <w:r>
              <w:t>predicting Y for X values beyond the observed range. This should not be done with a basic regression model.</w:t>
            </w:r>
          </w:p>
        </w:tc>
      </w:tr>
    </w:tbl>
    <w:p/>
    <w:p>
      <w:pPr>
        <w:jc w:val="center"/>
      </w:pPr>
      <w:r>
        <w:drawing>
          <wp:inline xmlns:a="http://schemas.openxmlformats.org/drawingml/2006/main" xmlns:pic="http://schemas.openxmlformats.org/drawingml/2006/picture">
            <wp:extent cx="5394960" cy="3509926"/>
            <wp:docPr id="4" name="Picture 4"/>
            <wp:cNvGraphicFramePr>
              <a:graphicFrameLocks noChangeAspect="1"/>
            </wp:cNvGraphicFramePr>
            <a:graphic>
              <a:graphicData uri="http://schemas.openxmlformats.org/drawingml/2006/picture">
                <pic:pic>
                  <pic:nvPicPr>
                    <pic:cNvPr id="0" name="interpolation_extrapolation.png"/>
                    <pic:cNvPicPr/>
                  </pic:nvPicPr>
                  <pic:blipFill>
                    <a:blip r:embed="rId12"/>
                    <a:stretch>
                      <a:fillRect/>
                    </a:stretch>
                  </pic:blipFill>
                  <pic:spPr>
                    <a:xfrm>
                      <a:off x="0" y="0"/>
                      <a:ext cx="5394960" cy="3509926"/>
                    </a:xfrm>
                    <a:prstGeom prst="rect"/>
                  </pic:spPr>
                </pic:pic>
              </a:graphicData>
            </a:graphic>
          </wp:inline>
        </w:drawing>
      </w:r>
    </w:p>
    <w:p>
      <w:pPr>
        <w:jc w:val="center"/>
      </w:pPr>
      <w:r>
        <w:rPr>
          <w:i/>
          <w:color w:val="4B5563"/>
          <w:sz w:val="18"/>
        </w:rPr>
        <w:t>Interpolation vs. Extrapolation</w:t>
      </w:r>
    </w:p>
    <w:p>
      <w:r>
        <w:t>In the drug example, X ranges from 100 to 500. Predicting within that range is reasonable. Predicting at X = 1000 assumes the relationship continues beyond the observed data.</w:t>
      </w:r>
    </w:p>
    <w:p>
      <w:pPr>
        <w:pStyle w:val="Heading2"/>
      </w:pPr>
      <w:r>
        <w:t>Extreme Values Can Distort Regression</w:t>
      </w:r>
    </w:p>
    <w:p>
      <w:r>
        <w:t>The least-squares line and r can be affected greatly by extreme data points. These two graphs recreate the teaching point because the original raw coordinates for the final example were not included in the extracted text.</w:t>
      </w:r>
    </w:p>
    <w:p>
      <w:pPr>
        <w:jc w:val="center"/>
      </w:pPr>
      <w:r>
        <w:drawing>
          <wp:inline xmlns:a="http://schemas.openxmlformats.org/drawingml/2006/main" xmlns:pic="http://schemas.openxmlformats.org/drawingml/2006/picture">
            <wp:extent cx="5029200" cy="3556942"/>
            <wp:docPr id="5" name="Picture 5"/>
            <wp:cNvGraphicFramePr>
              <a:graphicFrameLocks noChangeAspect="1"/>
            </wp:cNvGraphicFramePr>
            <a:graphic>
              <a:graphicData uri="http://schemas.openxmlformats.org/drawingml/2006/picture">
                <pic:pic>
                  <pic:nvPicPr>
                    <pic:cNvPr id="0" name="extreme_value_before.png"/>
                    <pic:cNvPicPr/>
                  </pic:nvPicPr>
                  <pic:blipFill>
                    <a:blip r:embed="rId13"/>
                    <a:stretch>
                      <a:fillRect/>
                    </a:stretch>
                  </pic:blipFill>
                  <pic:spPr>
                    <a:xfrm>
                      <a:off x="0" y="0"/>
                      <a:ext cx="5029200" cy="3556942"/>
                    </a:xfrm>
                    <a:prstGeom prst="rect"/>
                  </pic:spPr>
                </pic:pic>
              </a:graphicData>
            </a:graphic>
          </wp:inline>
        </w:drawing>
      </w:r>
    </w:p>
    <w:p>
      <w:pPr>
        <w:jc w:val="center"/>
      </w:pPr>
      <w:r>
        <w:rPr>
          <w:i/>
          <w:color w:val="4B5563"/>
          <w:sz w:val="18"/>
        </w:rPr>
        <w:t>Before Adding an Extreme Value</w:t>
      </w:r>
    </w:p>
    <w:p>
      <w:pPr>
        <w:jc w:val="center"/>
      </w:pPr>
      <w:r>
        <w:drawing>
          <wp:inline xmlns:a="http://schemas.openxmlformats.org/drawingml/2006/main" xmlns:pic="http://schemas.openxmlformats.org/drawingml/2006/picture">
            <wp:extent cx="5029200" cy="3554076"/>
            <wp:docPr id="6" name="Picture 6"/>
            <wp:cNvGraphicFramePr>
              <a:graphicFrameLocks noChangeAspect="1"/>
            </wp:cNvGraphicFramePr>
            <a:graphic>
              <a:graphicData uri="http://schemas.openxmlformats.org/drawingml/2006/picture">
                <pic:pic>
                  <pic:nvPicPr>
                    <pic:cNvPr id="0" name="extreme_value_after.png"/>
                    <pic:cNvPicPr/>
                  </pic:nvPicPr>
                  <pic:blipFill>
                    <a:blip r:embed="rId14"/>
                    <a:stretch>
                      <a:fillRect/>
                    </a:stretch>
                  </pic:blipFill>
                  <pic:spPr>
                    <a:xfrm>
                      <a:off x="0" y="0"/>
                      <a:ext cx="5029200" cy="3554076"/>
                    </a:xfrm>
                    <a:prstGeom prst="rect"/>
                  </pic:spPr>
                </pic:pic>
              </a:graphicData>
            </a:graphic>
          </wp:inline>
        </w:drawing>
      </w:r>
    </w:p>
    <w:p>
      <w:pPr>
        <w:jc w:val="center"/>
      </w:pPr>
      <w:r>
        <w:rPr>
          <w:i/>
          <w:color w:val="4B5563"/>
          <w:sz w:val="18"/>
        </w:rPr>
        <w:t>After Adding One Extreme Value</w:t>
      </w:r>
    </w:p>
    <w:p>
      <w:r>
        <w:t>An influential extreme point can make the remaining observations look compressed and artificially close to a line. Remove an extreme value temporarily and check whether the relationship still exists before trusting the regression.</w:t>
      </w:r>
    </w:p>
    <w:sectPr w:rsidR="00FC693F" w:rsidRPr="0006063C" w:rsidSect="00034616">
      <w:footerReference w:type="default" r:id="rId1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2D: Linear Correlation and Regression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