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7A614"/>
        </w:rPr>
        <w:t>STA210U — Statistics</w:t>
      </w:r>
    </w:p>
    <w:p>
      <w:pPr>
        <w:pStyle w:val="Title"/>
        <w:jc w:val="center"/>
      </w:pPr>
      <w:r>
        <w:t>I. Introduction and Data Collection</w:t>
      </w:r>
    </w:p>
    <w:p>
      <w:pPr>
        <w:jc w:val="center"/>
      </w:pPr>
      <w:r>
        <w:rPr>
          <w:b/>
          <w:color w:val="00467F"/>
          <w:sz w:val="30"/>
        </w:rPr>
        <w:t>C. Conducting a Study</w:t>
      </w:r>
    </w:p>
    <w:p>
      <w:pPr>
        <w:pStyle w:val="Heading1"/>
      </w:pPr>
      <w:r>
        <w:t>In This Section</w:t>
      </w:r>
    </w:p>
    <w:p>
      <w:pPr>
        <w:pStyle w:val="ListBullet"/>
      </w:pPr>
      <w:r>
        <w:t>Variables in a Study</w:t>
      </w:r>
    </w:p>
    <w:p>
      <w:pPr>
        <w:pStyle w:val="ListBullet"/>
      </w:pPr>
      <w:r>
        <w:t>Observational Study vs. Experiment</w:t>
      </w:r>
    </w:p>
    <w:p>
      <w:pPr>
        <w:pStyle w:val="ListBullet"/>
      </w:pPr>
      <w:r>
        <w:t>Measurement</w:t>
      </w:r>
    </w:p>
    <w:p>
      <w:pPr>
        <w:pStyle w:val="ListBullet"/>
      </w:pPr>
      <w:r>
        <w:t>Non-sampling Error</w:t>
      </w:r>
    </w:p>
    <w:p>
      <w:pPr>
        <w:pStyle w:val="ListBullet"/>
      </w:pPr>
      <w:r>
        <w:t>Interpretation of Results</w:t>
      </w:r>
    </w:p>
    <w:p>
      <w:pPr>
        <w:pStyle w:val="ListBullet"/>
      </w:pPr>
      <w:r>
        <w:t>Believing a Statistic</w:t>
      </w:r>
    </w:p>
    <w:p>
      <w:pPr>
        <w:pStyle w:val="Heading1"/>
      </w:pPr>
      <w:r>
        <w:t>1. Variables in a Study</w:t>
      </w:r>
    </w:p>
    <w:tbl>
      <w:tblPr>
        <w:tblW w:type="auto" w:w="0"/>
        <w:tblLook w:firstColumn="1" w:firstRow="1" w:lastColumn="0" w:lastRow="0" w:noHBand="0" w:noVBand="1" w:val="04A0"/>
      </w:tblPr>
      <w:tblGrid>
        <w:gridCol w:w="10080"/>
      </w:tblGrid>
      <w:tr>
        <w:tc>
          <w:tcPr>
            <w:tcW w:type="dxa" w:w="10080"/>
            <w:shd w:fill="F5F7FB"/>
          </w:tcPr>
          <w:p>
            <w:r>
              <w:rPr>
                <w:b/>
                <w:color w:val="00467F"/>
              </w:rPr>
              <w:t xml:space="preserve">Response variable (dependent variable) — </w:t>
            </w:r>
            <w:r>
              <w:t>a variable that measures an outcome or result of a study</w:t>
            </w:r>
          </w:p>
        </w:tc>
      </w:tr>
    </w:tbl>
    <w:p/>
    <w:tbl>
      <w:tblPr>
        <w:tblW w:type="auto" w:w="0"/>
        <w:tblLook w:firstColumn="1" w:firstRow="1" w:lastColumn="0" w:lastRow="0" w:noHBand="0" w:noVBand="1" w:val="04A0"/>
      </w:tblPr>
      <w:tblGrid>
        <w:gridCol w:w="10080"/>
      </w:tblGrid>
      <w:tr>
        <w:tc>
          <w:tcPr>
            <w:tcW w:type="dxa" w:w="10080"/>
            <w:shd w:fill="F5F7FB"/>
          </w:tcPr>
          <w:p>
            <w:r>
              <w:rPr>
                <w:b/>
                <w:color w:val="00467F"/>
              </w:rPr>
              <w:t xml:space="preserve">Explanatory variable (independent variable) — </w:t>
            </w:r>
            <w:r>
              <w:t>a variable that attempts to explain or causes changes in the response variable</w:t>
            </w:r>
          </w:p>
        </w:tc>
      </w:tr>
    </w:tbl>
    <w:p/>
    <w:p>
      <w:r>
        <w:t>In algebra class when looking at equations with two variables, you should have identified the y-variable as your dependent variable and the x-variable as your independent variable. This is important when dealing with functions in algebra and is just as important in statistics. When defining x and y you must decide which variable is dependent on the other.</w:t>
      </w:r>
    </w:p>
    <w:p>
      <w:pPr>
        <w:pStyle w:val="Heading2"/>
      </w:pPr>
      <w:r>
        <w:t>Example</w:t>
      </w:r>
    </w:p>
    <w:p>
      <w:r>
        <w:t>Suppose you have two variables in a study, dosage of drug and reduction in blood pressure. Which of these is your dependent variable and which is your independent variable?</w:t>
      </w:r>
    </w:p>
    <w:p>
      <w:r>
        <w:rPr>
          <w:b/>
          <w:color w:val="00467F"/>
        </w:rPr>
        <w:t>Answer</w:t>
      </w:r>
    </w:p>
    <w:p>
      <w:r>
        <w:t>For a patient, their reduction in blood pressure depends on the dosage of the drug. Therefore, you must define the dependent variable or response variable as reduction in blood pressure. You must also define the independent variable or explanatory variable as the dosage of the drug.</w:t>
      </w:r>
    </w:p>
    <w:tbl>
      <w:tblPr>
        <w:tblW w:type="auto" w:w="0"/>
        <w:tblLook w:firstColumn="1" w:firstRow="1" w:lastColumn="0" w:lastRow="0" w:noHBand="0" w:noVBand="1" w:val="04A0"/>
      </w:tblPr>
      <w:tblGrid>
        <w:gridCol w:w="10080"/>
      </w:tblGrid>
      <w:tr>
        <w:tc>
          <w:tcPr>
            <w:tcW w:type="dxa" w:w="10080"/>
            <w:shd w:fill="F5F7FB"/>
          </w:tcPr>
          <w:p>
            <w:r>
              <w:rPr>
                <w:b/>
                <w:color w:val="00467F"/>
              </w:rPr>
              <w:t xml:space="preserve">Lurking Variable — </w:t>
            </w:r>
            <w:r>
              <w:t>a variable that has an effect on the response variable but is not part of the study</w:t>
            </w:r>
          </w:p>
        </w:tc>
      </w:tr>
    </w:tbl>
    <w:p/>
    <w:tbl>
      <w:tblPr>
        <w:tblW w:type="auto" w:w="0"/>
        <w:tblLook w:firstColumn="1" w:firstRow="1" w:lastColumn="0" w:lastRow="0" w:noHBand="0" w:noVBand="1" w:val="04A0"/>
      </w:tblPr>
      <w:tblGrid>
        <w:gridCol w:w="10080"/>
      </w:tblGrid>
      <w:tr>
        <w:tc>
          <w:tcPr>
            <w:tcW w:type="dxa" w:w="10080"/>
            <w:shd w:fill="F5F7FB"/>
          </w:tcPr>
          <w:p>
            <w:r>
              <w:rPr>
                <w:b/>
                <w:color w:val="00467F"/>
              </w:rPr>
              <w:t xml:space="preserve">Confounding variable — </w:t>
            </w:r>
            <w:r>
              <w:t>a variable whose effect on the response variable cannot be separated from the effect of an explanatory variable</w:t>
            </w:r>
          </w:p>
        </w:tc>
      </w:tr>
    </w:tbl>
    <w:p/>
    <w:p>
      <w:pPr>
        <w:pStyle w:val="Heading1"/>
      </w:pPr>
      <w:r>
        <w:t>2. Observational Study vs. Experiment</w:t>
      </w:r>
    </w:p>
    <w:tbl>
      <w:tblPr>
        <w:tblW w:type="auto" w:w="0"/>
        <w:tblLook w:firstColumn="1" w:firstRow="1" w:lastColumn="0" w:lastRow="0" w:noHBand="0" w:noVBand="1" w:val="04A0"/>
      </w:tblPr>
      <w:tblGrid>
        <w:gridCol w:w="10080"/>
      </w:tblGrid>
      <w:tr>
        <w:tc>
          <w:tcPr>
            <w:tcW w:type="dxa" w:w="10080"/>
            <w:shd w:fill="F5F7FB"/>
          </w:tcPr>
          <w:p>
            <w:r>
              <w:rPr>
                <w:b/>
                <w:color w:val="00467F"/>
              </w:rPr>
              <w:t xml:space="preserve">Experiment — </w:t>
            </w:r>
            <w:r>
              <w:t>we create differences in the explanatory variable (independent variable) and then examine the results</w:t>
            </w:r>
          </w:p>
        </w:tc>
      </w:tr>
    </w:tbl>
    <w:p/>
    <w:tbl>
      <w:tblPr>
        <w:tblW w:type="auto" w:w="0"/>
        <w:tblLook w:firstColumn="1" w:firstRow="1" w:lastColumn="0" w:lastRow="0" w:noHBand="0" w:noVBand="1" w:val="04A0"/>
      </w:tblPr>
      <w:tblGrid>
        <w:gridCol w:w="10080"/>
      </w:tblGrid>
      <w:tr>
        <w:tc>
          <w:tcPr>
            <w:tcW w:type="dxa" w:w="10080"/>
            <w:shd w:fill="F5F7FB"/>
          </w:tcPr>
          <w:p>
            <w:r>
              <w:rPr>
                <w:b/>
                <w:color w:val="00467F"/>
              </w:rPr>
              <w:t xml:space="preserve">Observational study — </w:t>
            </w:r>
            <w:r>
              <w:t>we observe differences in the explanatory variable (independent variable) and then notice whether these are related to differences in the response variable</w:t>
            </w:r>
          </w:p>
        </w:tc>
      </w:tr>
    </w:tbl>
    <w:p/>
    <w:p>
      <w:r>
        <w:t>It is important to notice that the difference between an experiment and observational study is with the explanatory variable(s). In an experiment we assign the levels of the explanatory variable and in an observational study we simply observe these differences.</w:t>
      </w:r>
    </w:p>
    <w:tbl>
      <w:tblPr>
        <w:tblW w:type="auto" w:w="0"/>
        <w:tblLook w:firstColumn="1" w:firstRow="1" w:lastColumn="0" w:lastRow="0" w:noHBand="0" w:noVBand="1" w:val="04A0"/>
      </w:tblPr>
      <w:tblGrid>
        <w:gridCol w:w="10080"/>
      </w:tblGrid>
      <w:tr>
        <w:tc>
          <w:tcPr>
            <w:tcW w:type="dxa" w:w="10080"/>
            <w:shd w:fill="F5F7FB"/>
          </w:tcPr>
          <w:p>
            <w:r>
              <w:rPr>
                <w:b/>
                <w:color w:val="00467F"/>
              </w:rPr>
              <w:t xml:space="preserve">Random assignment — </w:t>
            </w:r>
            <w:r>
              <w:t>equivalent to flipping a coin to decide group membership. When conducting an experiment it is important to randomly assign subjects to the levels of the explanatory variable</w:t>
            </w:r>
          </w:p>
        </w:tc>
      </w:tr>
    </w:tbl>
    <w:p/>
    <w:tbl>
      <w:tblPr>
        <w:tblW w:type="auto" w:w="0"/>
        <w:tblLook w:firstColumn="1" w:firstRow="1" w:lastColumn="0" w:lastRow="0" w:noHBand="0" w:noVBand="1" w:val="04A0"/>
      </w:tblPr>
      <w:tblGrid>
        <w:gridCol w:w="10080"/>
      </w:tblGrid>
      <w:tr>
        <w:tc>
          <w:tcPr>
            <w:tcW w:type="dxa" w:w="10080"/>
            <w:shd w:fill="F5F7FB"/>
          </w:tcPr>
          <w:p>
            <w:r>
              <w:rPr>
                <w:b/>
                <w:color w:val="00467F"/>
              </w:rPr>
              <w:t xml:space="preserve">Control Group — </w:t>
            </w:r>
            <w:r>
              <w:t>a group that does not actually take the treatment but is used to help control lurking variables. We prefer the control group to take a placebo when possible</w:t>
            </w:r>
          </w:p>
        </w:tc>
      </w:tr>
    </w:tbl>
    <w:p/>
    <w:tbl>
      <w:tblPr>
        <w:tblW w:type="auto" w:w="0"/>
        <w:tblLook w:firstColumn="1" w:firstRow="1" w:lastColumn="0" w:lastRow="0" w:noHBand="0" w:noVBand="1" w:val="04A0"/>
      </w:tblPr>
      <w:tblGrid>
        <w:gridCol w:w="10080"/>
      </w:tblGrid>
      <w:tr>
        <w:tc>
          <w:tcPr>
            <w:tcW w:type="dxa" w:w="10080"/>
            <w:shd w:fill="F5F7FB"/>
          </w:tcPr>
          <w:p>
            <w:r>
              <w:rPr>
                <w:b/>
                <w:color w:val="00467F"/>
              </w:rPr>
              <w:t xml:space="preserve">Placebo — </w:t>
            </w:r>
            <w:r>
              <w:t>looks similar to the treatment being given in the experiment; not possible in many studies</w:t>
            </w:r>
          </w:p>
        </w:tc>
      </w:tr>
    </w:tbl>
    <w:p/>
    <w:p>
      <w:r>
        <w:t>Random assignment to groups will eliminate confounding. If you are testing a drug and you give the drug to a group of females and give a placebo to a group of males, you have confounding. If the two groups react differently, you cannot say if the different reaction was because of the drug or because of gender. In observational studies confounding sometimes cannot be avoided. Like in education if you have explanatory variables of teacher and school, then you have a situation where teacher is confounded in school. You cannot use random assignment in observational studies.</w:t>
      </w:r>
    </w:p>
    <w:tbl>
      <w:tblPr>
        <w:tblW w:type="auto" w:w="0"/>
        <w:tblLook w:firstColumn="1" w:firstRow="1" w:lastColumn="0" w:lastRow="0" w:noHBand="0" w:noVBand="1" w:val="04A0"/>
      </w:tblPr>
      <w:tblGrid>
        <w:gridCol w:w="10080"/>
      </w:tblGrid>
      <w:tr>
        <w:tc>
          <w:tcPr>
            <w:tcW w:type="dxa" w:w="10080"/>
            <w:shd w:fill="F5F7FB"/>
          </w:tcPr>
          <w:p>
            <w:r>
              <w:rPr>
                <w:b/>
                <w:color w:val="00467F"/>
              </w:rPr>
              <w:t xml:space="preserve">Blinding — </w:t>
            </w:r>
            <w:r>
              <w:t>(single blind) the subjects do not know if they are receiving the treatment or placebo; (double blind) neither the subjects nor administrator know what is being given. Researchers prefer to use double blind experiments</w:t>
            </w:r>
          </w:p>
        </w:tc>
      </w:tr>
    </w:tbl>
    <w:p/>
    <w:tbl>
      <w:tblPr>
        <w:tblW w:type="auto" w:w="0"/>
        <w:tblLook w:firstColumn="1" w:firstRow="1" w:lastColumn="0" w:lastRow="0" w:noHBand="0" w:noVBand="1" w:val="04A0"/>
      </w:tblPr>
      <w:tblGrid>
        <w:gridCol w:w="10080"/>
      </w:tblGrid>
      <w:tr>
        <w:tc>
          <w:tcPr>
            <w:tcW w:type="dxa" w:w="10080"/>
            <w:shd w:fill="F5F7FB"/>
          </w:tcPr>
          <w:p>
            <w:r>
              <w:rPr>
                <w:b/>
                <w:color w:val="00467F"/>
              </w:rPr>
              <w:t xml:space="preserve">Completely randomized experimental design — </w:t>
            </w:r>
            <w:r>
              <w:t>all the subjects are allocated at random among all treatment groups</w:t>
            </w:r>
          </w:p>
        </w:tc>
      </w:tr>
    </w:tbl>
    <w:p/>
    <w:tbl>
      <w:tblPr>
        <w:tblW w:type="auto" w:w="0"/>
        <w:tblLook w:firstColumn="1" w:firstRow="1" w:lastColumn="0" w:lastRow="0" w:noHBand="0" w:noVBand="1" w:val="04A0"/>
      </w:tblPr>
      <w:tblGrid>
        <w:gridCol w:w="10080"/>
      </w:tblGrid>
      <w:tr>
        <w:tc>
          <w:tcPr>
            <w:tcW w:type="dxa" w:w="10080"/>
            <w:shd w:fill="F5F7FB"/>
          </w:tcPr>
          <w:p>
            <w:r>
              <w:rPr>
                <w:b/>
                <w:color w:val="00467F"/>
              </w:rPr>
              <w:t xml:space="preserve">Block — </w:t>
            </w:r>
            <w:r>
              <w:t>a group of subjects that are known before the experiment to be similar in some way that is expected to affect the response of the treatments</w:t>
            </w:r>
          </w:p>
        </w:tc>
      </w:tr>
    </w:tbl>
    <w:p/>
    <w:tbl>
      <w:tblPr>
        <w:tblW w:type="auto" w:w="0"/>
        <w:tblLook w:firstColumn="1" w:firstRow="1" w:lastColumn="0" w:lastRow="0" w:noHBand="0" w:noVBand="1" w:val="04A0"/>
      </w:tblPr>
      <w:tblGrid>
        <w:gridCol w:w="10080"/>
      </w:tblGrid>
      <w:tr>
        <w:tc>
          <w:tcPr>
            <w:tcW w:type="dxa" w:w="10080"/>
            <w:shd w:fill="F5F7FB"/>
          </w:tcPr>
          <w:p>
            <w:r>
              <w:rPr>
                <w:b/>
                <w:color w:val="00467F"/>
              </w:rPr>
              <w:t xml:space="preserve">Block design — </w:t>
            </w:r>
            <w:r>
              <w:t>the random assignment of subjects to treatments is carried out separately within each block</w:t>
            </w:r>
          </w:p>
        </w:tc>
      </w:tr>
    </w:tbl>
    <w:p/>
    <w:p>
      <w:pPr>
        <w:pStyle w:val="Heading2"/>
      </w:pPr>
      <w:r>
        <w:t>Block Design Example</w:t>
      </w:r>
    </w:p>
    <w:p>
      <w:r>
        <w:t>There are situations where a completely randomized experimental design is not an option. Mainly this occurs because we include a variable that is not experimental. If we are interested in studying the effect of a drug on a particular disease, then we can simply randomize. However, if we think the drug might affect males and females differently then we should use a block design.</w:t>
      </w:r>
    </w:p>
    <w:p>
      <w:r>
        <w:t>Gender will be the block and we will randomize levels of the drug within the male group and separately within the female group. When including variables like gender in an experiment, a block design is the best option.</w:t>
      </w:r>
    </w:p>
    <w:p>
      <w:pPr>
        <w:pStyle w:val="Heading1"/>
      </w:pPr>
      <w:r>
        <w:t>3. Measurement</w:t>
      </w:r>
    </w:p>
    <w:tbl>
      <w:tblPr>
        <w:tblW w:type="auto" w:w="0"/>
        <w:tblLook w:firstColumn="1" w:firstRow="1" w:lastColumn="0" w:lastRow="0" w:noHBand="0" w:noVBand="1" w:val="04A0"/>
      </w:tblPr>
      <w:tblGrid>
        <w:gridCol w:w="10080"/>
      </w:tblGrid>
      <w:tr>
        <w:tc>
          <w:tcPr>
            <w:tcW w:type="dxa" w:w="10080"/>
            <w:shd w:fill="F5F7FB"/>
          </w:tcPr>
          <w:p>
            <w:r>
              <w:rPr>
                <w:b/>
                <w:color w:val="00467F"/>
              </w:rPr>
              <w:t xml:space="preserve">Sample survey — </w:t>
            </w:r>
            <w:r>
              <w:t>When data is collected by asking questions and recording the responses. This is the most common type of observational study and we will discuss the basics of collecting data from a survey in this class.</w:t>
            </w:r>
          </w:p>
        </w:tc>
      </w:tr>
    </w:tbl>
    <w:p/>
    <w:p>
      <w:pPr>
        <w:pStyle w:val="Heading2"/>
      </w:pPr>
      <w:r>
        <w:t>Examples</w:t>
      </w:r>
    </w:p>
    <w:p>
      <w:pPr>
        <w:pStyle w:val="ListNumber"/>
      </w:pPr>
      <w:r>
        <w:t>Public opinion polls</w:t>
      </w:r>
    </w:p>
    <w:p>
      <w:pPr>
        <w:pStyle w:val="ListNumber"/>
      </w:pPr>
      <w:r>
        <w:t>Pre-election polls</w:t>
      </w:r>
    </w:p>
    <w:p>
      <w:pPr>
        <w:pStyle w:val="ListNumber"/>
      </w:pPr>
      <w:r>
        <w:t>Consumer surveys</w:t>
      </w:r>
    </w:p>
    <w:p>
      <w:pPr>
        <w:pStyle w:val="ListNumber"/>
      </w:pPr>
      <w:r>
        <w:t>Teacher evaluations (my favorite)</w:t>
      </w:r>
    </w:p>
    <w:p>
      <w:pPr>
        <w:pStyle w:val="Heading2"/>
      </w:pPr>
      <w:r>
        <w:t>Survey Question Example</w:t>
      </w:r>
    </w:p>
    <w:p>
      <w:r>
        <w:t>“Do you take drugs?”</w:t>
      </w:r>
    </w:p>
    <w:p>
      <w:r>
        <w:t>Does the word “drugs” mean illegal, over-the-counter, prescription drugs, or drugs such as caffeine? This is not a good survey question. In survey research you must be careful in how you ask questions.</w:t>
      </w:r>
    </w:p>
    <w:tbl>
      <w:tblPr>
        <w:tblW w:type="auto" w:w="0"/>
        <w:tblLook w:firstColumn="1" w:firstRow="1" w:lastColumn="0" w:lastRow="0" w:noHBand="0" w:noVBand="1" w:val="04A0"/>
      </w:tblPr>
      <w:tblGrid>
        <w:gridCol w:w="10080"/>
      </w:tblGrid>
      <w:tr>
        <w:tc>
          <w:tcPr>
            <w:tcW w:type="dxa" w:w="10080"/>
            <w:shd w:fill="F5F7FB"/>
          </w:tcPr>
          <w:p>
            <w:r>
              <w:rPr>
                <w:b/>
                <w:color w:val="00467F"/>
              </w:rPr>
              <w:t xml:space="preserve">Unnecessary complexity — </w:t>
            </w:r>
            <w:r>
              <w:t>be specific but keep questions simple. Most people do not like to say “I don’t know”</w:t>
            </w:r>
          </w:p>
        </w:tc>
      </w:tr>
    </w:tbl>
    <w:p/>
    <w:tbl>
      <w:tblPr>
        <w:tblW w:type="auto" w:w="0"/>
        <w:tblLook w:firstColumn="1" w:firstRow="1" w:lastColumn="0" w:lastRow="0" w:noHBand="0" w:noVBand="1" w:val="04A0"/>
      </w:tblPr>
      <w:tblGrid>
        <w:gridCol w:w="10080"/>
      </w:tblGrid>
      <w:tr>
        <w:tc>
          <w:tcPr>
            <w:tcW w:type="dxa" w:w="10080"/>
            <w:shd w:fill="F5F7FB"/>
          </w:tcPr>
          <w:p>
            <w:r>
              <w:rPr>
                <w:b/>
                <w:color w:val="00467F"/>
              </w:rPr>
              <w:t xml:space="preserve">Neutral — </w:t>
            </w:r>
            <w:r>
              <w:t>ask questions that do not lead the respondent to an answer</w:t>
            </w:r>
          </w:p>
        </w:tc>
      </w:tr>
    </w:tbl>
    <w:p/>
    <w:tbl>
      <w:tblPr>
        <w:tblW w:type="auto" w:w="0"/>
        <w:tblLook w:firstColumn="1" w:firstRow="1" w:lastColumn="0" w:lastRow="0" w:noHBand="0" w:noVBand="1" w:val="04A0"/>
      </w:tblPr>
      <w:tblGrid>
        <w:gridCol w:w="10080"/>
      </w:tblGrid>
      <w:tr>
        <w:tc>
          <w:tcPr>
            <w:tcW w:type="dxa" w:w="10080"/>
            <w:shd w:fill="F5F7FB"/>
          </w:tcPr>
          <w:p>
            <w:r>
              <w:rPr>
                <w:b/>
                <w:color w:val="00467F"/>
              </w:rPr>
              <w:t xml:space="preserve">Ordering of questions — </w:t>
            </w:r>
            <w:r>
              <w:t>keep questions random since the order of questions can affect the responses. It is possible that question 1 will affect the outcome for question 2. It is best to use multiple surveys with the questions in different orders.</w:t>
            </w:r>
          </w:p>
        </w:tc>
      </w:tr>
    </w:tbl>
    <w:p/>
    <w:tbl>
      <w:tblPr>
        <w:tblW w:type="auto" w:w="0"/>
        <w:tblLook w:firstColumn="1" w:firstRow="1" w:lastColumn="0" w:lastRow="0" w:noHBand="0" w:noVBand="1" w:val="04A0"/>
      </w:tblPr>
      <w:tblGrid>
        <w:gridCol w:w="10080"/>
      </w:tblGrid>
      <w:tr>
        <w:tc>
          <w:tcPr>
            <w:tcW w:type="dxa" w:w="10080"/>
            <w:shd w:fill="F5F7FB"/>
          </w:tcPr>
          <w:p>
            <w:r>
              <w:rPr>
                <w:b/>
                <w:color w:val="00467F"/>
              </w:rPr>
              <w:t xml:space="preserve">Desire to please — </w:t>
            </w:r>
            <w:r>
              <w:t>Be aware that respondents sometimes answer questions in a way to try and please the interviewer. An interviewer should never give their point of view.</w:t>
            </w:r>
          </w:p>
        </w:tc>
      </w:tr>
    </w:tbl>
    <w:p/>
    <w:tbl>
      <w:tblPr>
        <w:tblW w:type="auto" w:w="0"/>
        <w:tblLook w:firstColumn="1" w:firstRow="1" w:lastColumn="0" w:lastRow="0" w:noHBand="0" w:noVBand="1" w:val="04A0"/>
      </w:tblPr>
      <w:tblGrid>
        <w:gridCol w:w="10080"/>
      </w:tblGrid>
      <w:tr>
        <w:tc>
          <w:tcPr>
            <w:tcW w:type="dxa" w:w="10080"/>
            <w:shd w:fill="F5F7FB"/>
          </w:tcPr>
          <w:p>
            <w:r>
              <w:rPr>
                <w:b/>
                <w:color w:val="00467F"/>
              </w:rPr>
              <w:t xml:space="preserve">Open — </w:t>
            </w:r>
            <w:r>
              <w:t>respondents are allowed to answer in their own words</w:t>
            </w:r>
          </w:p>
        </w:tc>
      </w:tr>
    </w:tbl>
    <w:p/>
    <w:p>
      <w:r>
        <w:t>Problems with open ended questions include: results are difficult to summarize; the wording may exclude answers desired by the researcher.</w:t>
      </w:r>
    </w:p>
    <w:tbl>
      <w:tblPr>
        <w:tblW w:type="auto" w:w="0"/>
        <w:tblLook w:firstColumn="1" w:firstRow="1" w:lastColumn="0" w:lastRow="0" w:noHBand="0" w:noVBand="1" w:val="04A0"/>
      </w:tblPr>
      <w:tblGrid>
        <w:gridCol w:w="10080"/>
      </w:tblGrid>
      <w:tr>
        <w:tc>
          <w:tcPr>
            <w:tcW w:type="dxa" w:w="10080"/>
            <w:shd w:fill="F5F7FB"/>
          </w:tcPr>
          <w:p>
            <w:r>
              <w:rPr>
                <w:b/>
                <w:color w:val="00467F"/>
              </w:rPr>
              <w:t xml:space="preserve">Closed — </w:t>
            </w:r>
            <w:r>
              <w:t>respondents are given a list of alternatives to choose from</w:t>
            </w:r>
          </w:p>
        </w:tc>
      </w:tr>
    </w:tbl>
    <w:p/>
    <w:p>
      <w:r>
        <w:t>Problems with closed ended questions include: limits ideas and thoughts the subjects might have.</w:t>
      </w:r>
    </w:p>
    <w:p>
      <w:r>
        <w:t>Most often researchers use closed ended questions because they are much easier to summarize and interpret. This benefit typically outweighs the negatives of closed ended questions and the benefits of open ended questions.</w:t>
      </w:r>
    </w:p>
    <w:p>
      <w:pPr>
        <w:pStyle w:val="Heading2"/>
      </w:pPr>
      <w:r>
        <w:t>Validity and Reliability</w:t>
      </w:r>
    </w:p>
    <w:tbl>
      <w:tblPr>
        <w:tblW w:type="auto" w:w="0"/>
        <w:tblLook w:firstColumn="1" w:firstRow="1" w:lastColumn="0" w:lastRow="0" w:noHBand="0" w:noVBand="1" w:val="04A0"/>
      </w:tblPr>
      <w:tblGrid>
        <w:gridCol w:w="10080"/>
      </w:tblGrid>
      <w:tr>
        <w:tc>
          <w:tcPr>
            <w:tcW w:type="dxa" w:w="10080"/>
            <w:shd w:fill="F5F7FB"/>
          </w:tcPr>
          <w:p>
            <w:r>
              <w:rPr>
                <w:b/>
                <w:color w:val="00467F"/>
              </w:rPr>
              <w:t xml:space="preserve">Validity — </w:t>
            </w:r>
            <w:r>
              <w:t>a measurement is valid if it actually measures what it claims to measure</w:t>
            </w:r>
          </w:p>
        </w:tc>
      </w:tr>
    </w:tbl>
    <w:p/>
    <w:p>
      <w:r>
        <w:t>Often a rate (percent) at which something occurs is a more valid measure than a frequency.</w:t>
      </w:r>
    </w:p>
    <w:p>
      <w:pPr>
        <w:pStyle w:val="Heading2"/>
      </w:pPr>
      <w:r>
        <w:t>Validity Example</w:t>
      </w:r>
    </w:p>
    <w:p>
      <w:r>
        <w:t>Suppose you are interested in looking at the pattern of homicides in the U.S. over time. If you look at the number of homicides from 1970 to present in order to investigate the pattern, is this a valid measure?</w:t>
      </w:r>
    </w:p>
    <w:p>
      <w:r>
        <w:rPr>
          <w:b/>
          <w:color w:val="00467F"/>
        </w:rPr>
        <w:t>Answer</w:t>
      </w:r>
    </w:p>
    <w:p>
      <w:r>
        <w:t>The answer is no because the U.S. population is growing over time. The number of homicides will increase simply because of this increased population. The rate or percent of homicides in the U.S. is a more valid measure.</w:t>
      </w:r>
    </w:p>
    <w:tbl>
      <w:tblPr>
        <w:tblW w:type="auto" w:w="0"/>
        <w:tblLook w:firstColumn="1" w:firstRow="1" w:lastColumn="0" w:lastRow="0" w:noHBand="0" w:noVBand="1" w:val="04A0"/>
      </w:tblPr>
      <w:tblGrid>
        <w:gridCol w:w="10080"/>
      </w:tblGrid>
      <w:tr>
        <w:tc>
          <w:tcPr>
            <w:tcW w:type="dxa" w:w="10080"/>
            <w:shd w:fill="F5F7FB"/>
          </w:tcPr>
          <w:p>
            <w:r>
              <w:rPr>
                <w:b/>
                <w:color w:val="00467F"/>
              </w:rPr>
              <w:t xml:space="preserve">Reliability — </w:t>
            </w:r>
            <w:r>
              <w:t>a measurement is reliable if it is the same time after time (small variability)</w:t>
            </w:r>
          </w:p>
        </w:tc>
      </w:tr>
    </w:tbl>
    <w:p/>
    <w:p>
      <w:pPr>
        <w:pStyle w:val="Heading2"/>
      </w:pPr>
      <w:r>
        <w:t>Reliability Example</w:t>
      </w:r>
    </w:p>
    <w:p>
      <w:r>
        <w:t>Suppose we are interested in measuring weight with a scale and the scale always weighs 10 pounds more than it should. Is the scale reliable? Is the scale valid?</w:t>
      </w:r>
    </w:p>
    <w:p>
      <w:r>
        <w:rPr>
          <w:b/>
          <w:color w:val="00467F"/>
        </w:rPr>
        <w:t>Answer</w:t>
      </w:r>
    </w:p>
    <w:p>
      <w:r>
        <w:t>The scale is reliable because it is consistent in that it is always 10 pounds too heavy. However, it is not valid since the measure is not accurate.</w:t>
      </w:r>
    </w:p>
    <w:p>
      <w:pPr>
        <w:pStyle w:val="Heading1"/>
      </w:pPr>
      <w:r>
        <w:t>4. Non-sampling Error</w:t>
      </w:r>
    </w:p>
    <w:tbl>
      <w:tblPr>
        <w:tblW w:type="auto" w:w="0"/>
        <w:tblLook w:firstColumn="1" w:firstRow="1" w:lastColumn="0" w:lastRow="0" w:noHBand="0" w:noVBand="1" w:val="04A0"/>
      </w:tblPr>
      <w:tblGrid>
        <w:gridCol w:w="10080"/>
      </w:tblGrid>
      <w:tr>
        <w:tc>
          <w:tcPr>
            <w:tcW w:type="dxa" w:w="10080"/>
            <w:shd w:fill="F5F7FB"/>
          </w:tcPr>
          <w:p>
            <w:r>
              <w:rPr>
                <w:b/>
                <w:color w:val="00467F"/>
              </w:rPr>
              <w:t xml:space="preserve">Non-sampling errors — </w:t>
            </w:r>
            <w:r>
              <w:t>errors that do not result from sampling</w:t>
            </w:r>
          </w:p>
        </w:tc>
      </w:tr>
    </w:tbl>
    <w:p/>
    <w:p>
      <w:pPr>
        <w:pStyle w:val="ListBullet"/>
      </w:pPr>
      <w:r>
        <w:t>Measurement error — error from the measurement of an outcome</w:t>
      </w:r>
    </w:p>
    <w:p>
      <w:pPr>
        <w:pStyle w:val="ListBullet"/>
      </w:pPr>
      <w:r>
        <w:t>Response error — Incorrect response from subject either intentionally or just because no effort was given when taking the survey</w:t>
      </w:r>
    </w:p>
    <w:p>
      <w:pPr>
        <w:pStyle w:val="ListBullet"/>
      </w:pPr>
      <w:r>
        <w:t>Processing error — any data entry or arithmetic mistake</w:t>
      </w:r>
    </w:p>
    <w:p>
      <w:pPr>
        <w:pStyle w:val="ListBullet"/>
      </w:pPr>
      <w:r>
        <w:t>Loss of subjects — (Non-adherers) subjects who participate but do not follow the experimental treatments; (Dropouts) subjects who begin the experiment but do not complete it</w:t>
      </w:r>
    </w:p>
    <w:p>
      <w:pPr>
        <w:pStyle w:val="ListBullet"/>
      </w:pPr>
      <w:r>
        <w:t>Non-response — this is the biggest problem with surveys. If you send out 1000 surveys, you will not typically get 1000 back</w:t>
      </w:r>
    </w:p>
    <w:p>
      <w:pPr>
        <w:pStyle w:val="Heading2"/>
      </w:pPr>
      <w:r>
        <w:t>Non-response Example</w:t>
      </w:r>
    </w:p>
    <w:p>
      <w:r>
        <w:t>If you send out 3200 surveys and you only get back 1200, then you have a problem. When setting up a study we make sure the sample is representative of the population. Therefore, in this case we know that the 3200 people we sampled are representative of the population.</w:t>
      </w:r>
    </w:p>
    <w:p>
      <w:r>
        <w:t>However, when we only get 1200 back we cannot say these surveys are representative. What we do know is that the 1200 people who responded are different than the 2000 that did not on at least one variable. That variable being one group responded and the other did not. If they are different on the variable of interest then we have bias.</w:t>
      </w:r>
    </w:p>
    <w:p>
      <w:r>
        <w:t>A measure of how bad the bias could be is the response rate. In order to calculate the response rate we take the number of responses divided by the total number sampled. In this case 1200/3200 = .375 which is a response rate of 37.5%. We would like the response rate to be as close to 100% as possible. If it starts to get too far below 80%, that is a red flag. You should be very careful about putting much faith in a survey with a low response rate.</w:t>
      </w:r>
    </w:p>
    <w:p>
      <w:pPr>
        <w:pStyle w:val="Heading1"/>
      </w:pPr>
      <w:r>
        <w:t>5. Interpretation of Results</w:t>
      </w:r>
    </w:p>
    <w:tbl>
      <w:tblPr>
        <w:tblW w:type="auto" w:w="0"/>
        <w:tblLook w:firstColumn="1" w:firstRow="1" w:lastColumn="0" w:lastRow="0" w:noHBand="0" w:noVBand="1" w:val="04A0"/>
      </w:tblPr>
      <w:tblGrid>
        <w:gridCol w:w="10080"/>
      </w:tblGrid>
      <w:tr>
        <w:tc>
          <w:tcPr>
            <w:tcW w:type="dxa" w:w="10080"/>
            <w:shd w:fill="F5F7FB"/>
          </w:tcPr>
          <w:p>
            <w:r>
              <w:rPr>
                <w:b/>
                <w:color w:val="00467F"/>
              </w:rPr>
              <w:t xml:space="preserve">Statistically significant — </w:t>
            </w:r>
            <w:r>
              <w:t>implies that the observed effect is so large that it would rarely occur by chance (therefore, we are confident the effect exists in the population, but statistical significance tells us nothing about the size of the effect)</w:t>
            </w:r>
          </w:p>
        </w:tc>
      </w:tr>
    </w:tbl>
    <w:p/>
    <w:tbl>
      <w:tblPr>
        <w:tblW w:type="auto" w:w="0"/>
        <w:tblLook w:firstColumn="1" w:firstRow="1" w:lastColumn="0" w:lastRow="0" w:noHBand="0" w:noVBand="1" w:val="04A0"/>
      </w:tblPr>
      <w:tblGrid>
        <w:gridCol w:w="10080"/>
      </w:tblGrid>
      <w:tr>
        <w:tc>
          <w:tcPr>
            <w:tcW w:type="dxa" w:w="10080"/>
            <w:shd w:fill="F5F7FB"/>
          </w:tcPr>
          <w:p>
            <w:r>
              <w:rPr>
                <w:b/>
                <w:color w:val="00467F"/>
              </w:rPr>
              <w:t xml:space="preserve">Practically significant — </w:t>
            </w:r>
            <w:r>
              <w:t>implies that the effect is large enough to be important</w:t>
            </w:r>
          </w:p>
        </w:tc>
      </w:tr>
    </w:tbl>
    <w:p/>
    <w:p>
      <w:r>
        <w:t>In experiments, it is very common to compare groups. The goal is to show there is a statistically significant difference between the levels of the explanatory variable. You should keep in mind that as we take larger samples, we have less error in the estimates for each group. This means that with larger samples we can show a difference exists even if it is very small. Thus, you should always ask yourself if the difference is practically significant before reporting on the importance of the findings. Statistical significance says nothing about the size of a difference. It only indicates that a difference exists. Finding statistical significance does not imply practical significance.</w:t>
      </w:r>
    </w:p>
    <w:tbl>
      <w:tblPr>
        <w:tblW w:type="auto" w:w="0"/>
        <w:tblLook w:firstColumn="1" w:firstRow="1" w:lastColumn="0" w:lastRow="0" w:noHBand="0" w:noVBand="1" w:val="04A0"/>
      </w:tblPr>
      <w:tblGrid>
        <w:gridCol w:w="10080"/>
      </w:tblGrid>
      <w:tr>
        <w:tc>
          <w:tcPr>
            <w:tcW w:type="dxa" w:w="10080"/>
            <w:shd w:fill="F5F7FB"/>
          </w:tcPr>
          <w:p>
            <w:r>
              <w:rPr>
                <w:b/>
                <w:color w:val="00467F"/>
              </w:rPr>
              <w:t xml:space="preserve">Interaction — </w:t>
            </w:r>
            <w:r>
              <w:t>occurs when the effect of one explanatory variable on the response variable depends on what is happening with another explanatory variable</w:t>
            </w:r>
          </w:p>
        </w:tc>
      </w:tr>
    </w:tbl>
    <w:p/>
    <w:p>
      <w:pPr>
        <w:pStyle w:val="Heading2"/>
      </w:pPr>
      <w:r>
        <w:t>Interaction Example</w:t>
      </w:r>
    </w:p>
    <w:p>
      <w:r>
        <w:t>Suppose the response variable is final exam scores. The study includes two explanatory variables which are gender and course delivery (in class or online). An interaction would occur if the effect gender had on final exam scores depended on the course delivery. It could be that females perform better online and males perform better in class. If this was the case, we would have an interaction. (Just an example; this is not true)</w:t>
      </w:r>
    </w:p>
    <w:p>
      <w:pPr>
        <w:pStyle w:val="Heading1"/>
      </w:pPr>
      <w:r>
        <w:t>6. Believing a Statistic</w:t>
      </w:r>
    </w:p>
    <w:p>
      <w:r>
        <w:t>A goal of this class is to give students a better idea of what to look for when reading research. Below is a list of important things to think about when looking at a statistic.</w:t>
      </w:r>
    </w:p>
    <w:p>
      <w:pPr>
        <w:pStyle w:val="ListNumber"/>
      </w:pPr>
      <w:r>
        <w:t>Who funded the research and who conducted the research?</w:t>
      </w:r>
    </w:p>
    <w:p>
      <w:pPr>
        <w:pStyle w:val="ListNumber"/>
      </w:pPr>
      <w:r>
        <w:t>What type of study was conducted?</w:t>
      </w:r>
    </w:p>
    <w:p>
      <w:pPr>
        <w:pStyle w:val="ListNumber"/>
      </w:pPr>
      <w:r>
        <w:t>What individuals were studied and how where they selected?</w:t>
      </w:r>
    </w:p>
    <w:p>
      <w:pPr>
        <w:pStyle w:val="ListNumber"/>
      </w:pPr>
      <w:r>
        <w:t>Is there any bias from measurement or other non-sampling error?</w:t>
      </w:r>
    </w:p>
    <w:p>
      <w:pPr>
        <w:pStyle w:val="ListNumber"/>
      </w:pPr>
      <w:r>
        <w:t>What was the sample size and how much sampling error was reported?</w:t>
      </w:r>
    </w:p>
    <w:p>
      <w:pPr>
        <w:pStyle w:val="ListNumber"/>
      </w:pPr>
      <w:r>
        <w:t>Was lurking variables controlled for in the study?</w:t>
      </w:r>
    </w:p>
    <w:p>
      <w:pPr>
        <w:pStyle w:val="ListNumber"/>
      </w:pPr>
      <w:r>
        <w:t>Was there confounding variables in the study?</w:t>
      </w:r>
    </w:p>
    <w:p>
      <w:pPr>
        <w:pStyle w:val="ListNumber"/>
      </w:pPr>
      <w:r>
        <w:t>How was individuals assigned to groups and were there any differences between the groups being compared?</w:t>
      </w:r>
    </w:p>
    <w:p>
      <w:pPr>
        <w:pStyle w:val="ListNumber"/>
      </w:pPr>
      <w:r>
        <w:t>What was the magnitude of any claimed effects or differences?</w:t>
      </w:r>
    </w:p>
    <w:p>
      <w:pPr>
        <w:pStyle w:val="ListNumber"/>
      </w:pPr>
      <w:r>
        <w:t>Was an appropriate analysis technique utilized?</w:t>
      </w:r>
    </w:p>
    <w:p>
      <w:r>
        <w:t>Keep in mind that not all of the above questions are pertinent in every study.</w:t>
      </w:r>
    </w:p>
    <w:p>
      <w:r>
        <w:t>Number 1 above deals with conflict of interest. If someone has a stake in the outcome, then it is possible they were not objective. You would like to see an independent third party doing the research. Number 2 deals with identifying the study as an observational study, simulation, or experiment. Number 3 is something you should now know. Statisticians should take random samples. Number 4 is important because you should not put much faith in a statistic if it is severely biased. Number 5 is important since too small of a sample size will result in too much error and large samples allow small differences to be statistically significant. Number 6 and 7 are imperative in knowing that it was actually the explanatory variable that was the reason for statistical significance. Number 8 deals with situations where there is a comparison between groups. If this is the case in a study, the groups being compared should be similar which is accomplished by random assignment. Number 9 is an important one. Any time there is a difference between groups in a study, you should think about whether the difference is practically significant. Number 10 is complicated. We will spend the rest of the semester talking about ways to analyze data.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467F"/>
        <w:sz w:val="16"/>
      </w:rPr>
      <w:t>STA210U — Section 1C: Conducting a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67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6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467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467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