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rPr>
          <w:rStyle w:val="Heading1Char"/>
          <w:rFonts w:ascii="Calibri" w:hAnsi="Calibri" w:cs="Calibri" w:asciiTheme="minorHAnsi" w:cstheme="minorHAnsi" w:hAnsiTheme="minorHAnsi"/>
          <w:sz w:val="22"/>
        </w:rPr>
      </w:pPr>
      <w:bookmarkStart w:id="0" w:name="_GoBack"/>
      <w:r>
        <w:rPr>
          <w:rStyle w:val="Heading1Char"/>
          <w:rFonts w:cs="Calibri" w:ascii="Calibri" w:hAnsi="Calibri" w:asciiTheme="minorHAnsi" w:cstheme="minorHAnsi" w:hAnsiTheme="minorHAnsi"/>
          <w:b/>
          <w:sz w:val="22"/>
        </w:rPr>
        <w:t xml:space="preserve">To go on the footer of the page: </w:t>
      </w:r>
      <w:bookmarkEnd w:id="0"/>
      <w:r>
        <w:rPr>
          <w:rStyle w:val="Heading1Char"/>
          <w:rFonts w:cs="Calibri" w:ascii="Calibri" w:hAnsi="Calibri" w:asciiTheme="minorHAnsi" w:cstheme="minorHAnsi" w:hAnsiTheme="minorHAnsi"/>
          <w:sz w:val="22"/>
        </w:rPr>
        <w:t xml:space="preserve">This site </w:t>
      </w:r>
      <w:r>
        <w:rPr>
          <w:rFonts w:cs="Calibri" w:ascii="Calibri" w:hAnsi="Calibri" w:asciiTheme="minorHAnsi" w:cstheme="minorHAnsi" w:hAnsiTheme="minorHAnsi"/>
          <w:sz w:val="22"/>
        </w:rPr>
        <w:t>meets the requirements of the WCAG 2.1 AA standard. To view our Accessibility Statement, please click HERE.</w:t>
      </w:r>
    </w:p>
    <w:p>
      <w:pPr>
        <w:pStyle w:val="Heading1"/>
        <w:rPr>
          <w:rStyle w:val="Heading1Char"/>
          <w:b/>
          <w:b/>
        </w:rPr>
      </w:pPr>
      <w:r>
        <w:rPr>
          <w:rStyle w:val="Heading1Char"/>
          <w:b/>
        </w:rPr>
        <w:t>Accessibility Statement</w:t>
      </w:r>
    </w:p>
    <w:p>
      <w:pPr>
        <w:pStyle w:val="Heading2"/>
        <w:rPr/>
      </w:pPr>
      <w:r>
        <w:rPr>
          <w:rStyle w:val="Heading1Char"/>
          <w:szCs w:val="26"/>
        </w:rPr>
        <w:t>Public Health Wales</w:t>
      </w:r>
    </w:p>
    <w:p>
      <w:pPr>
        <w:pStyle w:val="Normal"/>
        <w:rPr/>
      </w:pPr>
      <w:r>
        <w:rPr/>
        <w:t>This accessibility statement applies to the Wales Health Equity Solutions Platform Data Explorer</w:t>
      </w:r>
    </w:p>
    <w:p>
      <w:pPr>
        <w:pStyle w:val="Normal"/>
        <w:rPr/>
      </w:pPr>
      <w:r>
        <w:rPr/>
        <w:t xml:space="preserve">This website is run by Public Health Wales. We want as many people as possible to be able to use this website. For example, that means you should be able to: </w:t>
      </w:r>
    </w:p>
    <w:p>
      <w:pPr>
        <w:pStyle w:val="Normal"/>
        <w:numPr>
          <w:ilvl w:val="0"/>
          <w:numId w:val="1"/>
        </w:numPr>
        <w:rPr/>
      </w:pPr>
      <w:r>
        <w:rPr/>
        <w:t>change colours, contrast levels and fonts</w:t>
      </w:r>
    </w:p>
    <w:p>
      <w:pPr>
        <w:pStyle w:val="Normal"/>
        <w:numPr>
          <w:ilvl w:val="0"/>
          <w:numId w:val="1"/>
        </w:numPr>
        <w:rPr/>
      </w:pPr>
      <w:r>
        <w:rPr/>
        <w:t>zoom in up to 200% without the text spilling off the screen</w:t>
      </w:r>
    </w:p>
    <w:p>
      <w:pPr>
        <w:pStyle w:val="Normal"/>
        <w:numPr>
          <w:ilvl w:val="0"/>
          <w:numId w:val="1"/>
        </w:numPr>
        <w:rPr/>
      </w:pPr>
      <w:r>
        <w:rPr/>
        <w:t>View the browser in a one column format (1280px browser width and Zoom in to 400%)</w:t>
      </w:r>
    </w:p>
    <w:p>
      <w:pPr>
        <w:pStyle w:val="Normal"/>
        <w:numPr>
          <w:ilvl w:val="0"/>
          <w:numId w:val="1"/>
        </w:numPr>
        <w:rPr/>
      </w:pPr>
      <w:r>
        <w:rPr/>
        <w:t>navigate most of the website using just a keyboard</w:t>
      </w:r>
    </w:p>
    <w:p>
      <w:pPr>
        <w:pStyle w:val="Normal"/>
        <w:numPr>
          <w:ilvl w:val="0"/>
          <w:numId w:val="1"/>
        </w:numPr>
        <w:rPr/>
      </w:pPr>
      <w:r>
        <w:rPr/>
        <w:t>navigate most of the website using speech recognition software</w:t>
      </w:r>
    </w:p>
    <w:p>
      <w:pPr>
        <w:pStyle w:val="Normal"/>
        <w:numPr>
          <w:ilvl w:val="0"/>
          <w:numId w:val="1"/>
        </w:numPr>
        <w:rPr/>
      </w:pPr>
      <w:r>
        <w:rPr/>
        <w:t>listen to most of the website using a screen reader (including the most recent versions of JAWS, NVDA and VoiceOver)</w:t>
      </w:r>
    </w:p>
    <w:p>
      <w:pPr>
        <w:pStyle w:val="Normal"/>
        <w:rPr/>
      </w:pPr>
      <w:r>
        <w:rPr/>
        <w:t>We’ve also made the website text as simple as possible to understand.</w:t>
      </w:r>
    </w:p>
    <w:p>
      <w:pPr>
        <w:pStyle w:val="Normal"/>
        <w:rPr/>
      </w:pPr>
      <w:r>
        <w:rPr/>
      </w:r>
    </w:p>
    <w:p>
      <w:pPr>
        <w:pStyle w:val="Heading3"/>
        <w:rPr>
          <w:bCs/>
        </w:rPr>
      </w:pPr>
      <w:r>
        <w:rPr/>
        <w:t>Accessibility</w:t>
      </w:r>
    </w:p>
    <w:p>
      <w:pPr>
        <w:pStyle w:val="Normal"/>
        <w:rPr/>
      </w:pPr>
      <w:r>
        <w:rPr/>
        <w:t>We know some parts of this website are not fully accessible:</w:t>
      </w:r>
    </w:p>
    <w:p>
      <w:pPr>
        <w:pStyle w:val="ListParagraph"/>
        <w:numPr>
          <w:ilvl w:val="0"/>
          <w:numId w:val="2"/>
        </w:numPr>
        <w:spacing w:lineRule="auto" w:line="360"/>
        <w:rPr>
          <w:b/>
          <w:b/>
          <w:bCs/>
        </w:rPr>
      </w:pPr>
      <w:r>
        <w:rPr/>
        <w:t>There are links which open in a new window without notifying the user</w:t>
      </w:r>
    </w:p>
    <w:p>
      <w:pPr>
        <w:pStyle w:val="ListParagraph"/>
        <w:numPr>
          <w:ilvl w:val="0"/>
          <w:numId w:val="2"/>
        </w:numPr>
        <w:spacing w:lineRule="auto" w:line="360"/>
        <w:rPr>
          <w:b/>
          <w:b/>
          <w:bCs/>
        </w:rPr>
      </w:pPr>
      <w:r>
        <w:rPr/>
        <w:t xml:space="preserve">There are links which are not descriptive </w:t>
      </w:r>
    </w:p>
    <w:p>
      <w:pPr>
        <w:pStyle w:val="ListParagraph"/>
        <w:numPr>
          <w:ilvl w:val="0"/>
          <w:numId w:val="2"/>
        </w:numPr>
        <w:spacing w:lineRule="auto" w:line="360"/>
        <w:rPr>
          <w:b/>
          <w:b/>
          <w:bCs/>
        </w:rPr>
      </w:pPr>
      <w:r>
        <w:rPr/>
        <w:t>The colour contrast on some text may cause difficulty for some users</w:t>
      </w:r>
    </w:p>
    <w:p>
      <w:pPr>
        <w:pStyle w:val="Normal"/>
        <w:rPr>
          <w:b/>
          <w:b/>
          <w:bCs/>
        </w:rPr>
      </w:pPr>
      <w:r>
        <w:rPr>
          <w:b/>
          <w:bCs/>
        </w:rPr>
      </w:r>
    </w:p>
    <w:p>
      <w:pPr>
        <w:pStyle w:val="Heading3"/>
        <w:rPr/>
      </w:pPr>
      <w:r>
        <w:rPr/>
        <w:t>Feedback and contact information</w:t>
      </w:r>
    </w:p>
    <w:p>
      <w:pPr>
        <w:pStyle w:val="Normal"/>
        <w:rPr/>
      </w:pPr>
      <w:r>
        <w:rPr/>
        <w:t xml:space="preserve">If you need information on this website in a different format like accessible PDF, large print, easy read, audio recording or braille, please email: </w:t>
      </w:r>
      <w:hyperlink r:id="rId2">
        <w:r>
          <w:rPr>
            <w:rStyle w:val="InternetLink"/>
            <w:rFonts w:cs="Calibri" w:cstheme="minorHAnsi"/>
            <w:b/>
            <w:color w:val="2E3D47"/>
            <w:highlight w:val="white"/>
          </w:rPr>
          <w:t>whocc.ihw@wales.nhs.uk</w:t>
        </w:r>
      </w:hyperlink>
      <w:r>
        <w:rPr>
          <w:rFonts w:cs="Calibri" w:cstheme="minorHAnsi"/>
          <w:b/>
        </w:rPr>
        <w:t xml:space="preserve"> </w:t>
      </w:r>
    </w:p>
    <w:p>
      <w:pPr>
        <w:pStyle w:val="Normal"/>
        <w:rPr/>
      </w:pPr>
      <w:r>
        <w:rPr/>
      </w:r>
    </w:p>
    <w:p>
      <w:pPr>
        <w:pStyle w:val="Normal"/>
        <w:rPr/>
      </w:pPr>
      <w:r>
        <w:rPr/>
        <w:t>We'll consider your request and get back to you within 14 days.</w:t>
      </w:r>
    </w:p>
    <w:p>
      <w:pPr>
        <w:pStyle w:val="Normal"/>
        <w:rPr>
          <w:b/>
          <w:b/>
          <w:bCs/>
        </w:rPr>
      </w:pPr>
      <w:r>
        <w:rPr>
          <w:b/>
          <w:bCs/>
        </w:rPr>
      </w:r>
    </w:p>
    <w:p>
      <w:pPr>
        <w:pStyle w:val="Heading3"/>
        <w:rPr/>
      </w:pPr>
      <w:r>
        <w:rPr/>
        <w:t>Reporting accessibility problems with this website</w:t>
      </w:r>
    </w:p>
    <w:p>
      <w:pPr>
        <w:pStyle w:val="Normal"/>
        <w:rPr>
          <w:b/>
          <w:b/>
          <w:bCs/>
          <w:color w:val="C00000"/>
        </w:rPr>
      </w:pPr>
      <w:r>
        <w:rPr/>
        <w:t>We’re always looking to improve the accessibility of this website. If you find any problems not listed on this page or think we’re not meeting accessibility requirements, contact:</w:t>
      </w:r>
      <w:r>
        <w:rPr>
          <w:b/>
          <w:bCs/>
          <w:color w:val="FF0000"/>
        </w:rPr>
        <w:t xml:space="preserve"> </w:t>
      </w:r>
    </w:p>
    <w:p>
      <w:pPr>
        <w:pStyle w:val="Normal"/>
        <w:rPr>
          <w:rFonts w:cs="Calibri" w:cstheme="minorHAnsi"/>
          <w:b/>
          <w:b/>
        </w:rPr>
      </w:pPr>
      <w:r>
        <w:rPr>
          <w:b/>
          <w:bCs/>
        </w:rPr>
        <w:t xml:space="preserve">By Email: </w:t>
      </w:r>
      <w:hyperlink r:id="rId3">
        <w:r>
          <w:rPr>
            <w:rStyle w:val="InternetLink"/>
            <w:rFonts w:cs="Calibri" w:cstheme="minorHAnsi"/>
            <w:color w:val="2E3D47"/>
            <w:highlight w:val="white"/>
          </w:rPr>
          <w:t>whocc.ihw@wales.nhs.uk</w:t>
        </w:r>
      </w:hyperlink>
    </w:p>
    <w:p>
      <w:pPr>
        <w:pStyle w:val="Normal"/>
        <w:rPr>
          <w:rFonts w:cs="Calibri" w:cstheme="minorHAnsi"/>
          <w:b/>
          <w:b/>
        </w:rPr>
      </w:pPr>
      <w:r>
        <w:rPr>
          <w:rFonts w:cs="Calibri" w:cstheme="minorHAnsi"/>
          <w:b/>
        </w:rPr>
        <w:t xml:space="preserve">By telephone: </w:t>
      </w:r>
      <w:r>
        <w:rPr>
          <w:rFonts w:cs="Calibri" w:cstheme="minorHAnsi"/>
        </w:rPr>
        <w:t>+44 02920 227744</w:t>
      </w:r>
    </w:p>
    <w:p>
      <w:pPr>
        <w:pStyle w:val="NormalWeb"/>
        <w:shd w:val="clear" w:color="auto" w:fill="FFFFFF"/>
        <w:spacing w:before="280" w:after="280"/>
        <w:rPr>
          <w:rFonts w:cs="Calibri" w:cstheme="minorHAnsi"/>
          <w:b/>
          <w:b/>
          <w:sz w:val="22"/>
        </w:rPr>
      </w:pPr>
      <w:r>
        <w:rPr>
          <w:rFonts w:cs="Calibri" w:ascii="Calibri" w:hAnsi="Calibri" w:asciiTheme="minorHAnsi" w:cstheme="minorHAnsi" w:hAnsiTheme="minorHAnsi"/>
          <w:b/>
          <w:sz w:val="22"/>
        </w:rPr>
        <w:t>By Post:</w:t>
      </w:r>
      <w:r>
        <w:rPr>
          <w:rFonts w:cs="Calibri" w:cstheme="minorHAnsi"/>
          <w:b/>
          <w:sz w:val="22"/>
        </w:rPr>
        <w:t xml:space="preserve"> </w:t>
      </w:r>
    </w:p>
    <w:p>
      <w:pPr>
        <w:pStyle w:val="NormalWeb"/>
        <w:shd w:val="clear" w:color="auto" w:fill="FFFFFF"/>
        <w:spacing w:before="280" w:after="280"/>
        <w:rPr>
          <w:rStyle w:val="Strong"/>
          <w:rFonts w:ascii="Calibri" w:hAnsi="Calibri" w:eastAsia="" w:cs="Calibri" w:asciiTheme="minorHAnsi" w:cstheme="minorHAnsi" w:eastAsiaTheme="majorEastAsia" w:hAnsiTheme="minorHAnsi"/>
          <w:b w:val="false"/>
          <w:b w:val="false"/>
          <w:sz w:val="22"/>
          <w:szCs w:val="22"/>
        </w:rPr>
      </w:pPr>
      <w:r>
        <w:rPr>
          <w:rStyle w:val="Strong"/>
          <w:rFonts w:eastAsia="" w:cs="Calibri" w:ascii="Calibri" w:hAnsi="Calibri" w:asciiTheme="minorHAnsi" w:cstheme="minorHAnsi" w:eastAsiaTheme="majorEastAsia" w:hAnsiTheme="minorHAnsi"/>
          <w:b w:val="false"/>
          <w:sz w:val="22"/>
          <w:szCs w:val="22"/>
        </w:rPr>
        <w:t>Policy and International Health, World Health Organization Collaborating Centre</w:t>
      </w:r>
      <w:r>
        <w:rPr>
          <w:rFonts w:cs="Calibri" w:ascii="Calibri" w:hAnsi="Calibri" w:asciiTheme="minorHAnsi" w:cstheme="minorHAnsi" w:hAnsiTheme="minorHAnsi"/>
          <w:b/>
          <w:sz w:val="22"/>
          <w:szCs w:val="22"/>
        </w:rPr>
        <w:t xml:space="preserve"> </w:t>
      </w:r>
      <w:r>
        <w:rPr>
          <w:rStyle w:val="Strong"/>
          <w:rFonts w:eastAsia="" w:cs="Calibri" w:ascii="Calibri" w:hAnsi="Calibri" w:asciiTheme="minorHAnsi" w:cstheme="minorHAnsi" w:eastAsiaTheme="majorEastAsia" w:hAnsiTheme="minorHAnsi"/>
          <w:b w:val="false"/>
          <w:sz w:val="22"/>
          <w:szCs w:val="22"/>
        </w:rPr>
        <w:t xml:space="preserve">(WHO CC) on Investment for Health and Well-being, </w:t>
      </w:r>
    </w:p>
    <w:p>
      <w:pPr>
        <w:pStyle w:val="NormalWeb"/>
        <w:shd w:val="clear" w:color="auto" w:fill="FFFFFF"/>
        <w:spacing w:before="280" w:after="280"/>
        <w:rPr>
          <w:rFonts w:ascii="Calibri" w:hAnsi="Calibri" w:eastAsia="" w:cs="Calibri" w:asciiTheme="minorHAnsi" w:cstheme="minorHAnsi" w:eastAsiaTheme="majorEastAsia" w:hAnsiTheme="minorHAnsi"/>
          <w:b/>
          <w:b/>
          <w:bCs/>
          <w:sz w:val="22"/>
          <w:szCs w:val="22"/>
        </w:rPr>
      </w:pPr>
      <w:r>
        <w:rPr>
          <w:rStyle w:val="Strong"/>
          <w:rFonts w:eastAsia="" w:cs="Calibri" w:ascii="Calibri" w:hAnsi="Calibri" w:asciiTheme="minorHAnsi" w:cstheme="minorHAnsi" w:eastAsiaTheme="majorEastAsia" w:hAnsiTheme="minorHAnsi"/>
          <w:b w:val="false"/>
          <w:sz w:val="22"/>
          <w:szCs w:val="22"/>
        </w:rPr>
        <w:t>Public Health Wales,</w:t>
      </w:r>
      <w:r>
        <w:rPr>
          <w:rFonts w:cs="Calibri" w:ascii="Calibri" w:hAnsi="Calibri" w:asciiTheme="minorHAnsi" w:cstheme="minorHAnsi" w:hAnsiTheme="minorHAnsi"/>
          <w:b/>
          <w:bCs/>
          <w:sz w:val="22"/>
          <w:szCs w:val="22"/>
        </w:rPr>
        <w:br/>
      </w:r>
      <w:r>
        <w:rPr>
          <w:rStyle w:val="Strong"/>
          <w:rFonts w:eastAsia="" w:cs="Calibri" w:ascii="Calibri" w:hAnsi="Calibri" w:asciiTheme="minorHAnsi" w:cstheme="minorHAnsi" w:eastAsiaTheme="majorEastAsia" w:hAnsiTheme="minorHAnsi"/>
          <w:b w:val="false"/>
          <w:sz w:val="22"/>
          <w:szCs w:val="22"/>
        </w:rPr>
        <w:t>Number 2 Capital Quarter,</w:t>
      </w:r>
      <w:r>
        <w:rPr>
          <w:rFonts w:cs="Calibri" w:ascii="Calibri" w:hAnsi="Calibri" w:asciiTheme="minorHAnsi" w:cstheme="minorHAnsi" w:hAnsiTheme="minorHAnsi"/>
          <w:b/>
          <w:bCs/>
          <w:sz w:val="22"/>
          <w:szCs w:val="22"/>
        </w:rPr>
        <w:br/>
      </w:r>
      <w:r>
        <w:rPr>
          <w:rStyle w:val="Strong"/>
          <w:rFonts w:eastAsia="" w:cs="Calibri" w:ascii="Calibri" w:hAnsi="Calibri" w:asciiTheme="minorHAnsi" w:cstheme="minorHAnsi" w:eastAsiaTheme="majorEastAsia" w:hAnsiTheme="minorHAnsi"/>
          <w:b w:val="false"/>
          <w:sz w:val="22"/>
          <w:szCs w:val="22"/>
        </w:rPr>
        <w:t>Tyndall Street,</w:t>
      </w:r>
      <w:r>
        <w:rPr>
          <w:rFonts w:cs="Calibri" w:ascii="Calibri" w:hAnsi="Calibri" w:asciiTheme="minorHAnsi" w:cstheme="minorHAnsi" w:hAnsiTheme="minorHAnsi"/>
          <w:b/>
          <w:bCs/>
          <w:sz w:val="22"/>
          <w:szCs w:val="22"/>
        </w:rPr>
        <w:br/>
      </w:r>
      <w:r>
        <w:rPr>
          <w:rStyle w:val="Strong"/>
          <w:rFonts w:eastAsia="" w:cs="Calibri" w:ascii="Calibri" w:hAnsi="Calibri" w:asciiTheme="minorHAnsi" w:cstheme="minorHAnsi" w:eastAsiaTheme="majorEastAsia" w:hAnsiTheme="minorHAnsi"/>
          <w:b w:val="false"/>
          <w:sz w:val="22"/>
          <w:szCs w:val="22"/>
        </w:rPr>
        <w:t>Cardiff</w:t>
      </w:r>
      <w:r>
        <w:rPr>
          <w:rFonts w:cs="Calibri" w:ascii="Calibri" w:hAnsi="Calibri" w:asciiTheme="minorHAnsi" w:cstheme="minorHAnsi" w:hAnsiTheme="minorHAnsi"/>
          <w:b/>
          <w:bCs/>
          <w:sz w:val="22"/>
          <w:szCs w:val="22"/>
        </w:rPr>
        <w:br/>
      </w:r>
      <w:r>
        <w:rPr>
          <w:rStyle w:val="Strong"/>
          <w:rFonts w:eastAsia="" w:cs="Calibri" w:ascii="Calibri" w:hAnsi="Calibri" w:asciiTheme="minorHAnsi" w:cstheme="minorHAnsi" w:eastAsiaTheme="majorEastAsia" w:hAnsiTheme="minorHAnsi"/>
          <w:b w:val="false"/>
          <w:sz w:val="22"/>
          <w:szCs w:val="22"/>
        </w:rPr>
        <w:t>CF10 4BZ</w:t>
      </w:r>
    </w:p>
    <w:p>
      <w:pPr>
        <w:pStyle w:val="Heading3"/>
        <w:rPr/>
      </w:pPr>
      <w:r>
        <w:rPr/>
        <w:t>Enforcement procedure</w:t>
      </w:r>
    </w:p>
    <w:p>
      <w:pPr>
        <w:pStyle w:val="Normal"/>
        <w:rPr/>
      </w:pPr>
      <w:r>
        <w:rPr/>
        <w:t>The Equality and Human Rights Commission (EHRC) is responsible for enforcing the Public Sector Bodies (Websites and Mobile Applications) (No. 2) Accessibility Regulations 2018 (the ‘accessibility regulations’). If you’re not happy with how we respond to your complaint, </w:t>
      </w:r>
      <w:hyperlink r:id="rId4">
        <w:r>
          <w:rPr>
            <w:rStyle w:val="InternetLink"/>
          </w:rPr>
          <w:t>contact the Equality Advisory and Support Service (EASS)</w:t>
        </w:r>
      </w:hyperlink>
      <w:r>
        <w:rPr/>
        <w:t>.</w:t>
      </w:r>
    </w:p>
    <w:p>
      <w:pPr>
        <w:pStyle w:val="Normal"/>
        <w:rPr>
          <w:b/>
          <w:b/>
          <w:bCs/>
        </w:rPr>
      </w:pPr>
      <w:r>
        <w:rPr>
          <w:b/>
          <w:bCs/>
        </w:rPr>
      </w:r>
    </w:p>
    <w:p>
      <w:pPr>
        <w:pStyle w:val="Heading2"/>
        <w:rPr>
          <w:color w:val="1F3864" w:themeColor="accent1" w:themeShade="80"/>
        </w:rPr>
      </w:pPr>
      <w:r>
        <w:rPr>
          <w:color w:val="1F3864" w:themeColor="accent1" w:themeShade="80"/>
        </w:rPr>
        <w:t xml:space="preserve">Contacting us by phone or visiting us in person </w:t>
      </w:r>
    </w:p>
    <w:p>
      <w:pPr>
        <w:pStyle w:val="Normal"/>
        <w:rPr/>
      </w:pPr>
      <w:r>
        <w:rPr/>
        <w:t>We provide a text relay service for people who are D/deaf, hearing impaired or have a speech impediment.</w:t>
      </w:r>
    </w:p>
    <w:p>
      <w:pPr>
        <w:pStyle w:val="Normal"/>
        <w:rPr/>
      </w:pPr>
      <w:r>
        <w:rPr/>
        <w:t>Our offices have audio induction loops, or if you contact us before your visit, we can arrange a British Sign Language (BSL) interpreter.</w:t>
      </w:r>
    </w:p>
    <w:p>
      <w:pPr>
        <w:pStyle w:val="Normal"/>
        <w:rPr>
          <w:color w:val="C00000"/>
        </w:rPr>
      </w:pPr>
      <w:r>
        <w:rPr/>
        <w:t xml:space="preserve">Find out how to contact us </w:t>
      </w:r>
      <w:hyperlink r:id="rId5">
        <w:r>
          <w:rPr>
            <w:rStyle w:val="InternetLink"/>
          </w:rPr>
          <w:t>solutionsplatform@wales.nhs.uk</w:t>
        </w:r>
      </w:hyperlink>
      <w:r>
        <w:rPr/>
        <w:t>.</w:t>
      </w:r>
    </w:p>
    <w:p>
      <w:pPr>
        <w:pStyle w:val="Normal"/>
        <w:rPr>
          <w:b/>
          <w:b/>
          <w:bCs/>
        </w:rPr>
      </w:pPr>
      <w:r>
        <w:rPr>
          <w:b/>
          <w:bCs/>
        </w:rPr>
      </w:r>
    </w:p>
    <w:p>
      <w:pPr>
        <w:pStyle w:val="Heading2"/>
        <w:rPr/>
      </w:pPr>
      <w:r>
        <w:rPr/>
        <w:t>Technical information about this website’s accessibility</w:t>
      </w:r>
    </w:p>
    <w:p>
      <w:pPr>
        <w:pStyle w:val="Normal"/>
        <w:rPr/>
      </w:pPr>
      <w:r>
        <w:rPr/>
        <w:t>Public Health Wales is committed to making its website accessible, in accordance with the Public Sector Bodies (Websites and Mobile Applications) (No. 2) Accessibility Regulations 2018.</w:t>
      </w:r>
    </w:p>
    <w:p>
      <w:pPr>
        <w:pStyle w:val="Heading3"/>
        <w:rPr/>
      </w:pPr>
      <w:r>
        <w:rPr/>
        <w:t>Compliance status</w:t>
      </w:r>
    </w:p>
    <w:p>
      <w:pPr>
        <w:pStyle w:val="Normal"/>
        <w:rPr/>
      </w:pPr>
      <w:r>
        <w:rPr/>
        <w:t xml:space="preserve">Currently, the website meets the requirements of the WCAG 2.1 AA standard </w:t>
      </w:r>
    </w:p>
    <w:p>
      <w:pPr>
        <w:pStyle w:val="Heading2"/>
        <w:rPr/>
      </w:pPr>
      <w:r>
        <w:rPr/>
      </w:r>
    </w:p>
    <w:p>
      <w:pPr>
        <w:pStyle w:val="Heading2"/>
        <w:rPr/>
      </w:pPr>
      <w:r>
        <w:rPr/>
        <w:t>Preparation of this accessibility statement</w:t>
      </w:r>
    </w:p>
    <w:p>
      <w:pPr>
        <w:pStyle w:val="Normal"/>
        <w:rPr/>
      </w:pPr>
      <w:r>
        <w:rPr/>
      </w:r>
    </w:p>
    <w:p>
      <w:pPr>
        <w:pStyle w:val="Normal"/>
        <w:rPr>
          <w:color w:val="C00000"/>
        </w:rPr>
      </w:pPr>
      <w:r>
        <w:rPr/>
        <w:t>This statement was prepared on 15</w:t>
      </w:r>
      <w:r>
        <w:rPr>
          <w:vertAlign w:val="superscript"/>
        </w:rPr>
        <w:t>th</w:t>
      </w:r>
      <w:r>
        <w:rPr/>
        <w:t xml:space="preserve"> March 2023. </w:t>
      </w:r>
    </w:p>
    <w:p>
      <w:pPr>
        <w:pStyle w:val="Normal"/>
        <w:rPr/>
      </w:pPr>
      <w:r>
        <w:rPr/>
        <w:t xml:space="preserve">This website was last </w:t>
      </w:r>
      <w:r>
        <w:rPr>
          <w:color w:val="000000" w:themeColor="text1"/>
        </w:rPr>
        <w:t>tested on 3</w:t>
      </w:r>
      <w:r>
        <w:rPr>
          <w:color w:val="000000" w:themeColor="text1"/>
          <w:vertAlign w:val="superscript"/>
        </w:rPr>
        <w:t>rd</w:t>
      </w:r>
      <w:r>
        <w:rPr>
          <w:color w:val="000000" w:themeColor="text1"/>
        </w:rPr>
        <w:t xml:space="preserve"> March 2023. </w:t>
      </w:r>
      <w:r>
        <w:rPr/>
        <w:t>The test was carried out by The Digital Accessibility Centre and covered the following journeys, which are representative of the main templates used on the website.</w:t>
      </w:r>
    </w:p>
    <w:p>
      <w:pPr>
        <w:pStyle w:val="Normal"/>
        <w:rPr/>
      </w:pPr>
      <w:r>
        <w:rPr/>
      </w:r>
    </w:p>
    <w:p>
      <w:pPr>
        <w:pStyle w:val="ListParagraph"/>
        <w:numPr>
          <w:ilvl w:val="0"/>
          <w:numId w:val="3"/>
        </w:numPr>
        <w:rPr/>
      </w:pPr>
      <w:r>
        <w:rPr/>
        <w:t xml:space="preserve">In the Navigation Click on ‘Data Explorer’ then select overview, </w:t>
      </w:r>
    </w:p>
    <w:p>
      <w:pPr>
        <w:pStyle w:val="ListParagraph"/>
        <w:numPr>
          <w:ilvl w:val="0"/>
          <w:numId w:val="3"/>
        </w:numPr>
        <w:rPr/>
      </w:pPr>
      <w:r>
        <w:rPr/>
        <w:t xml:space="preserve">In the Navigation Click on ‘Data explorer’ then select outcome </w:t>
      </w:r>
    </w:p>
    <w:p>
      <w:pPr>
        <w:pStyle w:val="ListParagraph"/>
        <w:numPr>
          <w:ilvl w:val="0"/>
          <w:numId w:val="3"/>
        </w:numPr>
        <w:rPr/>
      </w:pPr>
      <w:r>
        <w:rPr/>
        <w:t xml:space="preserve">On the outcome page, click on ‘View percentage of adults (16+) with a limited long-standing illness, disability or infirmity’ from the dropdown options </w:t>
      </w:r>
    </w:p>
    <w:p>
      <w:pPr>
        <w:pStyle w:val="ListParagraph"/>
        <w:numPr>
          <w:ilvl w:val="0"/>
          <w:numId w:val="3"/>
        </w:numPr>
        <w:rPr/>
      </w:pPr>
      <w:r>
        <w:rPr/>
        <w:t xml:space="preserve">From the ‘please click a grouping’ option, Change the groupings to ‘age’ </w:t>
      </w:r>
    </w:p>
    <w:p>
      <w:pPr>
        <w:pStyle w:val="ListParagraph"/>
        <w:numPr>
          <w:ilvl w:val="0"/>
          <w:numId w:val="3"/>
        </w:numPr>
        <w:rPr/>
      </w:pPr>
      <w:r>
        <w:rPr/>
        <w:t xml:space="preserve">On the output type </w:t>
      </w:r>
    </w:p>
    <w:p>
      <w:pPr>
        <w:pStyle w:val="ListParagraph"/>
        <w:numPr>
          <w:ilvl w:val="0"/>
          <w:numId w:val="3"/>
        </w:numPr>
        <w:rPr/>
      </w:pPr>
      <w:r>
        <w:rPr/>
        <w:t xml:space="preserve">Test the infographic option </w:t>
      </w:r>
    </w:p>
    <w:p>
      <w:pPr>
        <w:pStyle w:val="ListParagraph"/>
        <w:numPr>
          <w:ilvl w:val="0"/>
          <w:numId w:val="3"/>
        </w:numPr>
        <w:rPr/>
      </w:pPr>
      <w:r>
        <w:rPr/>
        <w:t xml:space="preserve">Test the barchart option </w:t>
      </w:r>
    </w:p>
    <w:p>
      <w:pPr>
        <w:pStyle w:val="ListParagraph"/>
        <w:numPr>
          <w:ilvl w:val="0"/>
          <w:numId w:val="3"/>
        </w:numPr>
        <w:rPr/>
      </w:pPr>
      <w:r>
        <w:rPr/>
        <w:t xml:space="preserve">Test the table option </w:t>
      </w:r>
    </w:p>
    <w:p>
      <w:pPr>
        <w:pStyle w:val="ListParagraph"/>
        <w:numPr>
          <w:ilvl w:val="0"/>
          <w:numId w:val="3"/>
        </w:numPr>
        <w:rPr/>
      </w:pPr>
      <w:r>
        <w:rPr/>
        <w:t xml:space="preserve">Click on ‘Download’ to download the data </w:t>
      </w:r>
    </w:p>
    <w:p>
      <w:pPr>
        <w:pStyle w:val="ListParagraph"/>
        <w:numPr>
          <w:ilvl w:val="0"/>
          <w:numId w:val="3"/>
        </w:numPr>
        <w:rPr/>
      </w:pPr>
      <w:r>
        <w:rPr/>
        <w:t>In the navigation Click on ‘Data explorer’ then select Search Indicators’, test the page including search</w:t>
      </w:r>
    </w:p>
    <w:p>
      <w:pPr>
        <w:pStyle w:val="Normal"/>
        <w:rPr>
          <w:b/>
          <w:b/>
          <w:bCs/>
        </w:rPr>
      </w:pPr>
      <w:r>
        <w:rPr>
          <w:b/>
          <w:bCs/>
        </w:rPr>
      </w:r>
    </w:p>
    <w:p>
      <w:pPr>
        <w:pStyle w:val="Heading3"/>
        <w:rPr/>
      </w:pPr>
      <w:r>
        <w:rPr/>
        <w:t>How we test this website</w:t>
      </w:r>
    </w:p>
    <w:p>
      <w:pPr>
        <w:pStyle w:val="Normal"/>
        <w:rPr/>
      </w:pPr>
      <w:r>
        <w:rPr/>
        <w:t>The Digital Accessibility Centre audit process involves:</w:t>
      </w:r>
    </w:p>
    <w:p>
      <w:pPr>
        <w:pStyle w:val="ListParagraph"/>
        <w:numPr>
          <w:ilvl w:val="0"/>
          <w:numId w:val="4"/>
        </w:numPr>
        <w:rPr/>
      </w:pPr>
      <w:r>
        <w:rPr/>
        <w:t xml:space="preserve">Automated testing </w:t>
      </w:r>
    </w:p>
    <w:p>
      <w:pPr>
        <w:pStyle w:val="ListParagraph"/>
        <w:numPr>
          <w:ilvl w:val="0"/>
          <w:numId w:val="4"/>
        </w:numPr>
        <w:rPr/>
      </w:pPr>
      <w:r>
        <w:rPr/>
        <w:t xml:space="preserve">Expert Review </w:t>
      </w:r>
    </w:p>
    <w:p>
      <w:pPr>
        <w:pStyle w:val="ListParagraph"/>
        <w:numPr>
          <w:ilvl w:val="0"/>
          <w:numId w:val="4"/>
        </w:numPr>
        <w:rPr/>
      </w:pPr>
      <w:r>
        <w:rPr/>
        <w:t>User testing (disabled end to end experience) by disabled testers, some using assistive technologies such as:</w:t>
      </w:r>
    </w:p>
    <w:p>
      <w:pPr>
        <w:pStyle w:val="ListParagraph"/>
        <w:numPr>
          <w:ilvl w:val="1"/>
          <w:numId w:val="4"/>
        </w:numPr>
        <w:rPr/>
      </w:pPr>
      <w:r>
        <w:rPr/>
        <w:t>JAWS screen reader</w:t>
      </w:r>
    </w:p>
    <w:p>
      <w:pPr>
        <w:pStyle w:val="ListParagraph"/>
        <w:numPr>
          <w:ilvl w:val="1"/>
          <w:numId w:val="4"/>
        </w:numPr>
        <w:rPr/>
      </w:pPr>
      <w:r>
        <w:rPr/>
        <w:t>NVDA screen reader</w:t>
      </w:r>
    </w:p>
    <w:p>
      <w:pPr>
        <w:pStyle w:val="ListParagraph"/>
        <w:numPr>
          <w:ilvl w:val="1"/>
          <w:numId w:val="4"/>
        </w:numPr>
        <w:rPr/>
      </w:pPr>
      <w:r>
        <w:rPr/>
        <w:t>VoiceOver on iOS (Mobile)</w:t>
      </w:r>
    </w:p>
    <w:p>
      <w:pPr>
        <w:pStyle w:val="ListParagraph"/>
        <w:numPr>
          <w:ilvl w:val="1"/>
          <w:numId w:val="4"/>
        </w:numPr>
        <w:rPr/>
      </w:pPr>
      <w:r>
        <w:rPr/>
        <w:t>TalkBack on Android (Mobile)</w:t>
      </w:r>
    </w:p>
    <w:p>
      <w:pPr>
        <w:pStyle w:val="ListParagraph"/>
        <w:numPr>
          <w:ilvl w:val="1"/>
          <w:numId w:val="4"/>
        </w:numPr>
        <w:rPr/>
      </w:pPr>
      <w:r>
        <w:rPr/>
        <w:t>Dragon voice activation software</w:t>
      </w:r>
    </w:p>
    <w:p>
      <w:pPr>
        <w:pStyle w:val="ListParagraph"/>
        <w:numPr>
          <w:ilvl w:val="1"/>
          <w:numId w:val="4"/>
        </w:numPr>
        <w:rPr/>
      </w:pPr>
      <w:r>
        <w:rPr/>
        <w:t>ZoomText magnification</w:t>
      </w:r>
    </w:p>
    <w:p>
      <w:pPr>
        <w:pStyle w:val="ListParagraph"/>
        <w:numPr>
          <w:ilvl w:val="1"/>
          <w:numId w:val="4"/>
        </w:numPr>
        <w:rPr/>
      </w:pPr>
      <w:r>
        <w:rPr/>
        <w:t>Keyboard only</w:t>
      </w:r>
    </w:p>
    <w:p>
      <w:pPr>
        <w:pStyle w:val="ListParagraph"/>
        <w:numPr>
          <w:ilvl w:val="1"/>
          <w:numId w:val="4"/>
        </w:numPr>
        <w:rPr/>
      </w:pPr>
      <w:r>
        <w:rPr/>
        <w:t>Testing with users with disabilities who do not require assistive software such as those with dyslexia, colour blindness, anxiety/panic disorder</w:t>
      </w:r>
    </w:p>
    <w:p>
      <w:pPr>
        <w:pStyle w:val="Normal"/>
        <w:widowControl/>
        <w:bidi w:val="0"/>
        <w:spacing w:lineRule="auto" w:line="259"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e27c9"/>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b439ef"/>
    <w:pPr>
      <w:keepNext w:val="true"/>
      <w:keepLines/>
      <w:spacing w:before="240" w:after="0"/>
      <w:outlineLvl w:val="0"/>
    </w:pPr>
    <w:rPr>
      <w:rFonts w:ascii="Calibri Light" w:hAnsi="Calibri Light" w:eastAsia="" w:cs="" w:asciiTheme="majorHAnsi" w:cstheme="majorBidi" w:eastAsiaTheme="majorEastAsia" w:hAnsiTheme="majorHAnsi"/>
      <w:color w:val="002060"/>
      <w:sz w:val="32"/>
      <w:szCs w:val="32"/>
    </w:rPr>
  </w:style>
  <w:style w:type="paragraph" w:styleId="Heading2">
    <w:name w:val="Heading 2"/>
    <w:basedOn w:val="Normal"/>
    <w:next w:val="Normal"/>
    <w:link w:val="Heading2Char"/>
    <w:uiPriority w:val="9"/>
    <w:unhideWhenUsed/>
    <w:qFormat/>
    <w:rsid w:val="00747690"/>
    <w:pPr>
      <w:keepNext w:val="true"/>
      <w:keepLines/>
      <w:spacing w:before="40" w:after="0"/>
      <w:outlineLvl w:val="1"/>
    </w:pPr>
    <w:rPr>
      <w:rFonts w:ascii="Calibri Light" w:hAnsi="Calibri Light" w:eastAsia="" w:cs="" w:asciiTheme="majorHAnsi" w:cstheme="majorBidi" w:eastAsiaTheme="majorEastAsia" w:hAnsiTheme="majorHAnsi"/>
      <w:b/>
      <w:color w:val="002060"/>
      <w:sz w:val="32"/>
      <w:szCs w:val="26"/>
    </w:rPr>
  </w:style>
  <w:style w:type="paragraph" w:styleId="Heading3">
    <w:name w:val="Heading 3"/>
    <w:basedOn w:val="Heading2"/>
    <w:next w:val="Normal"/>
    <w:link w:val="Heading3Char"/>
    <w:uiPriority w:val="9"/>
    <w:unhideWhenUsed/>
    <w:qFormat/>
    <w:rsid w:val="00747690"/>
    <w:pPr>
      <w:outlineLvl w:val="2"/>
    </w:pPr>
    <w:rPr>
      <w:sz w:val="28"/>
    </w:rPr>
  </w:style>
  <w:style w:type="paragraph" w:styleId="Heading4">
    <w:name w:val="Heading 4"/>
    <w:basedOn w:val="Normal"/>
    <w:next w:val="Normal"/>
    <w:link w:val="Heading4Char"/>
    <w:uiPriority w:val="9"/>
    <w:unhideWhenUsed/>
    <w:qFormat/>
    <w:rsid w:val="00747690"/>
    <w:pPr>
      <w:keepNext w:val="true"/>
      <w:keepLines/>
      <w:spacing w:before="40" w:after="0"/>
      <w:outlineLvl w:val="3"/>
    </w:pPr>
    <w:rPr>
      <w:rFonts w:ascii="Calibri Light" w:hAnsi="Calibri Light" w:eastAsia="" w:cs="" w:asciiTheme="majorHAnsi" w:cstheme="majorBidi" w:eastAsiaTheme="majorEastAsia" w:hAnsiTheme="majorHAnsi"/>
      <w:b/>
      <w:iCs/>
      <w:color w:val="002060"/>
      <w:sz w:val="24"/>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093410"/>
    <w:rPr>
      <w:color w:val="0563C1" w:themeColor="hyperlink"/>
      <w:u w:val="single"/>
    </w:rPr>
  </w:style>
  <w:style w:type="character" w:styleId="UnresolvedMention" w:customStyle="1">
    <w:name w:val="Unresolved Mention"/>
    <w:basedOn w:val="DefaultParagraphFont"/>
    <w:uiPriority w:val="99"/>
    <w:semiHidden/>
    <w:unhideWhenUsed/>
    <w:qFormat/>
    <w:rsid w:val="00093410"/>
    <w:rPr>
      <w:color w:val="605E5C"/>
      <w:shd w:fill="E1DFDD" w:val="clear"/>
    </w:rPr>
  </w:style>
  <w:style w:type="character" w:styleId="Heading1Char" w:customStyle="1">
    <w:name w:val="Heading 1 Char"/>
    <w:basedOn w:val="DefaultParagraphFont"/>
    <w:link w:val="Heading1"/>
    <w:uiPriority w:val="9"/>
    <w:qFormat/>
    <w:rsid w:val="00b439ef"/>
    <w:rPr>
      <w:rFonts w:ascii="Calibri Light" w:hAnsi="Calibri Light" w:eastAsia="" w:cs="" w:asciiTheme="majorHAnsi" w:cstheme="majorBidi" w:eastAsiaTheme="majorEastAsia" w:hAnsiTheme="majorHAnsi"/>
      <w:color w:val="002060"/>
      <w:sz w:val="32"/>
      <w:szCs w:val="32"/>
    </w:rPr>
  </w:style>
  <w:style w:type="character" w:styleId="Heading2Char" w:customStyle="1">
    <w:name w:val="Heading 2 Char"/>
    <w:basedOn w:val="DefaultParagraphFont"/>
    <w:link w:val="Heading2"/>
    <w:uiPriority w:val="9"/>
    <w:qFormat/>
    <w:rsid w:val="00747690"/>
    <w:rPr>
      <w:rFonts w:ascii="Calibri Light" w:hAnsi="Calibri Light" w:eastAsia="" w:cs="" w:asciiTheme="majorHAnsi" w:cstheme="majorBidi" w:eastAsiaTheme="majorEastAsia" w:hAnsiTheme="majorHAnsi"/>
      <w:b/>
      <w:color w:val="002060"/>
      <w:sz w:val="32"/>
      <w:szCs w:val="26"/>
    </w:rPr>
  </w:style>
  <w:style w:type="character" w:styleId="Heading3Char" w:customStyle="1">
    <w:name w:val="Heading 3 Char"/>
    <w:basedOn w:val="DefaultParagraphFont"/>
    <w:link w:val="Heading3"/>
    <w:uiPriority w:val="9"/>
    <w:qFormat/>
    <w:rsid w:val="00747690"/>
    <w:rPr>
      <w:rFonts w:ascii="Calibri Light" w:hAnsi="Calibri Light" w:eastAsia="" w:cs="" w:asciiTheme="majorHAnsi" w:cstheme="majorBidi" w:eastAsiaTheme="majorEastAsia" w:hAnsiTheme="majorHAnsi"/>
      <w:b/>
      <w:color w:val="002060"/>
      <w:sz w:val="28"/>
      <w:szCs w:val="26"/>
    </w:rPr>
  </w:style>
  <w:style w:type="character" w:styleId="Heading4Char" w:customStyle="1">
    <w:name w:val="Heading 4 Char"/>
    <w:basedOn w:val="DefaultParagraphFont"/>
    <w:link w:val="Heading4"/>
    <w:uiPriority w:val="9"/>
    <w:qFormat/>
    <w:rsid w:val="00747690"/>
    <w:rPr>
      <w:rFonts w:ascii="Calibri Light" w:hAnsi="Calibri Light" w:eastAsia="" w:cs="" w:asciiTheme="majorHAnsi" w:cstheme="majorBidi" w:eastAsiaTheme="majorEastAsia" w:hAnsiTheme="majorHAnsi"/>
      <w:b/>
      <w:iCs/>
      <w:color w:val="002060"/>
      <w:sz w:val="24"/>
    </w:rPr>
  </w:style>
  <w:style w:type="character" w:styleId="Strong">
    <w:name w:val="Strong"/>
    <w:basedOn w:val="DefaultParagraphFont"/>
    <w:uiPriority w:val="22"/>
    <w:qFormat/>
    <w:rsid w:val="00291d2f"/>
    <w:rPr>
      <w:b/>
      <w:bCs/>
    </w:rPr>
  </w:style>
  <w:style w:type="character" w:styleId="Annotationreference">
    <w:name w:val="annotation reference"/>
    <w:basedOn w:val="DefaultParagraphFont"/>
    <w:uiPriority w:val="99"/>
    <w:semiHidden/>
    <w:unhideWhenUsed/>
    <w:qFormat/>
    <w:rsid w:val="00291d2f"/>
    <w:rPr>
      <w:sz w:val="16"/>
      <w:szCs w:val="16"/>
    </w:rPr>
  </w:style>
  <w:style w:type="character" w:styleId="CommentTextChar" w:customStyle="1">
    <w:name w:val="Comment Text Char"/>
    <w:basedOn w:val="DefaultParagraphFont"/>
    <w:link w:val="CommentText"/>
    <w:uiPriority w:val="99"/>
    <w:semiHidden/>
    <w:qFormat/>
    <w:rsid w:val="00291d2f"/>
    <w:rPr>
      <w:sz w:val="20"/>
      <w:szCs w:val="20"/>
    </w:rPr>
  </w:style>
  <w:style w:type="character" w:styleId="CommentSubjectChar" w:customStyle="1">
    <w:name w:val="Comment Subject Char"/>
    <w:basedOn w:val="CommentTextChar"/>
    <w:link w:val="CommentSubject"/>
    <w:uiPriority w:val="99"/>
    <w:semiHidden/>
    <w:qFormat/>
    <w:rsid w:val="00291d2f"/>
    <w:rPr>
      <w:b/>
      <w:bCs/>
      <w:sz w:val="20"/>
      <w:szCs w:val="20"/>
    </w:rPr>
  </w:style>
  <w:style w:type="character" w:styleId="BalloonTextChar" w:customStyle="1">
    <w:name w:val="Balloon Text Char"/>
    <w:basedOn w:val="DefaultParagraphFont"/>
    <w:link w:val="BalloonText"/>
    <w:uiPriority w:val="99"/>
    <w:semiHidden/>
    <w:qFormat/>
    <w:rsid w:val="00291d2f"/>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e128c5"/>
    <w:pPr>
      <w:spacing w:before="0" w:after="160"/>
      <w:ind w:left="720" w:hanging="0"/>
      <w:contextualSpacing/>
    </w:pPr>
    <w:rPr/>
  </w:style>
  <w:style w:type="paragraph" w:styleId="NormalWeb">
    <w:name w:val="Normal (Web)"/>
    <w:basedOn w:val="Normal"/>
    <w:uiPriority w:val="99"/>
    <w:semiHidden/>
    <w:unhideWhenUsed/>
    <w:qFormat/>
    <w:rsid w:val="00291d2f"/>
    <w:pPr>
      <w:spacing w:lineRule="auto" w:line="240" w:beforeAutospacing="1" w:afterAutospacing="1"/>
    </w:pPr>
    <w:rPr>
      <w:rFonts w:ascii="Times New Roman" w:hAnsi="Times New Roman" w:eastAsia="Times New Roman" w:cs="Times New Roman"/>
      <w:sz w:val="24"/>
      <w:szCs w:val="24"/>
      <w:lang w:eastAsia="en-GB"/>
    </w:rPr>
  </w:style>
  <w:style w:type="paragraph" w:styleId="Annotationtext">
    <w:name w:val="annotation text"/>
    <w:basedOn w:val="Normal"/>
    <w:link w:val="CommentTextChar"/>
    <w:uiPriority w:val="99"/>
    <w:semiHidden/>
    <w:unhideWhenUsed/>
    <w:qFormat/>
    <w:rsid w:val="00291d2f"/>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291d2f"/>
    <w:pPr/>
    <w:rPr>
      <w:b/>
      <w:bCs/>
    </w:rPr>
  </w:style>
  <w:style w:type="paragraph" w:styleId="BalloonText">
    <w:name w:val="Balloon Text"/>
    <w:basedOn w:val="Normal"/>
    <w:link w:val="BalloonTextChar"/>
    <w:uiPriority w:val="99"/>
    <w:semiHidden/>
    <w:unhideWhenUsed/>
    <w:qFormat/>
    <w:rsid w:val="00291d2f"/>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hocc.ihw@wales.nhs.uk" TargetMode="External"/><Relationship Id="rId3" Type="http://schemas.openxmlformats.org/officeDocument/2006/relationships/hyperlink" Target="mailto:whocc.ihw@wales.nhs.uk" TargetMode="External"/><Relationship Id="rId4" Type="http://schemas.openxmlformats.org/officeDocument/2006/relationships/hyperlink" Target="https://www.equalityadvisoryservice.com/" TargetMode="External"/><Relationship Id="rId5" Type="http://schemas.openxmlformats.org/officeDocument/2006/relationships/hyperlink" Target="mailto:solutionsplatform@wales.nhs.uk"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Date_x002f_Time xmlns="63fd9e00-e175-4947-a3c5-d8e339f93d37" xsi:nil="true"/>
    <lcf76f155ced4ddcb4097134ff3c332f xmlns="63fd9e00-e175-4947-a3c5-d8e339f93d37">
      <Terms xmlns="http://schemas.microsoft.com/office/infopath/2007/PartnerControls"/>
    </lcf76f155ced4ddcb4097134ff3c332f>
    <TaxCatchAll xmlns="2034e971-7e5d-48d0-a5f9-ff04831376ad" xsi:nil="true"/>
    <SharedWithUsers xmlns="2034e971-7e5d-48d0-a5f9-ff04831376ad">
      <UserInfo>
        <DisplayName>Craig Dunn</DisplayName>
        <AccountId>83</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BBA6BC9FE4314388BCCE6FF478446F" ma:contentTypeVersion="17" ma:contentTypeDescription="Create a new document." ma:contentTypeScope="" ma:versionID="484e2c94436f06b99c47a274782d8092">
  <xsd:schema xmlns:xsd="http://www.w3.org/2001/XMLSchema" xmlns:xs="http://www.w3.org/2001/XMLSchema" xmlns:p="http://schemas.microsoft.com/office/2006/metadata/properties" xmlns:ns2="63fd9e00-e175-4947-a3c5-d8e339f93d37" xmlns:ns3="2034e971-7e5d-48d0-a5f9-ff04831376ad" targetNamespace="http://schemas.microsoft.com/office/2006/metadata/properties" ma:root="true" ma:fieldsID="2691ad42d52e66243bfececca1eecc6e" ns2:_="" ns3:_="">
    <xsd:import namespace="63fd9e00-e175-4947-a3c5-d8e339f93d37"/>
    <xsd:import namespace="2034e971-7e5d-48d0-a5f9-ff04831376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Date_x002f_Tim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d9e00-e175-4947-a3c5-d8e339f93d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Date_x002f_Time" ma:index="21" nillable="true" ma:displayName="Date/Time" ma:format="DateTime" ma:internalName="Date_x002f_Time">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382fd92-94b3-42ab-b8ff-5adea5dc515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034e971-7e5d-48d0-a5f9-ff04831376a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c8e33d1-5986-4f64-8fa4-f60fd252d705}" ma:internalName="TaxCatchAll" ma:showField="CatchAllData" ma:web="2034e971-7e5d-48d0-a5f9-ff04831376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C30C7-CB68-40FF-8D8C-854FFE546C01}">
  <ds:schemaRefs>
    <ds:schemaRef ds:uri="http://purl.org/dc/terms/"/>
    <ds:schemaRef ds:uri="63fd9e00-e175-4947-a3c5-d8e339f93d37"/>
    <ds:schemaRef ds:uri="http://schemas.microsoft.com/office/2006/documentManagement/types"/>
    <ds:schemaRef ds:uri="http://schemas.openxmlformats.org/package/2006/metadata/core-properties"/>
    <ds:schemaRef ds:uri="http://purl.org/dc/elements/1.1/"/>
    <ds:schemaRef ds:uri="2034e971-7e5d-48d0-a5f9-ff04831376ad"/>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094F5342-F887-496E-A37B-6F90899FF763}">
  <ds:schemaRefs>
    <ds:schemaRef ds:uri="http://schemas.microsoft.com/sharepoint/v3/contenttype/forms"/>
  </ds:schemaRefs>
</ds:datastoreItem>
</file>

<file path=customXml/itemProps3.xml><?xml version="1.0" encoding="utf-8"?>
<ds:datastoreItem xmlns:ds="http://schemas.openxmlformats.org/officeDocument/2006/customXml" ds:itemID="{B9E2C5FE-C104-4ED8-B552-D7B02ADEB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d9e00-e175-4947-a3c5-d8e339f93d37"/>
    <ds:schemaRef ds:uri="2034e971-7e5d-48d0-a5f9-ff04831376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A7464B-E1B7-4255-96C4-E6EFAD231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Accessibility Statement Template.dotx</Template>
  <TotalTime>4</TotalTime>
  <Application>LibreOffice/6.4.7.2$Linux_X86_64 LibreOffice_project/40$Build-2</Application>
  <Pages>3</Pages>
  <Words>715</Words>
  <Characters>3797</Characters>
  <CharactersWithSpaces>4439</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2023-03-28T13:27:00Z</dcterms:created>
  <dc:creator>Deborah Roberts</dc:creator>
  <dc:description/>
  <dc:language>en-GB</dc:language>
  <cp:lastModifiedBy/>
  <dcterms:modified xsi:type="dcterms:W3CDTF">2023-07-06T08:46:20Z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0x010100C8BBA6BC9FE4314388BCCE6FF478446F</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