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52A23" w14:textId="7EC98C21" w:rsidR="00B92A4E" w:rsidRDefault="00B92A4E">
      <w:r>
        <w:t>Phamacokinetics(Two Day Course)</w:t>
      </w:r>
    </w:p>
    <w:p w14:paraId="663FC9A2" w14:textId="77777777" w:rsidR="00B92A4E" w:rsidRDefault="00B92A4E"/>
    <w:p w14:paraId="540584A2" w14:textId="05227199" w:rsidR="00B92A4E" w:rsidRDefault="00B92A4E">
      <w:r>
        <w:t>Lecture 1 : Introduction to Pk analysis</w:t>
      </w:r>
    </w:p>
    <w:p w14:paraId="027B885D" w14:textId="0B11B532" w:rsidR="00B92A4E" w:rsidRDefault="00B92A4E" w:rsidP="00B92A4E">
      <w:pPr>
        <w:pStyle w:val="ListParagraph"/>
        <w:numPr>
          <w:ilvl w:val="0"/>
          <w:numId w:val="1"/>
        </w:numPr>
      </w:pPr>
      <w:r>
        <w:t>Safety and Efficancy are the important factors</w:t>
      </w:r>
    </w:p>
    <w:p w14:paraId="3FA82AFC" w14:textId="635AC959" w:rsidR="00B92A4E" w:rsidRDefault="00B92A4E" w:rsidP="00B92A4E">
      <w:pPr>
        <w:pStyle w:val="ListParagraph"/>
        <w:numPr>
          <w:ilvl w:val="0"/>
          <w:numId w:val="1"/>
        </w:numPr>
      </w:pPr>
      <w:r>
        <w:t>MEC( Minimum Efficacy Conc)</w:t>
      </w:r>
    </w:p>
    <w:p w14:paraId="5B968EC7" w14:textId="1D1D4542" w:rsidR="00B92A4E" w:rsidRDefault="00B92A4E" w:rsidP="00B92A4E">
      <w:pPr>
        <w:pStyle w:val="ListParagraph"/>
        <w:numPr>
          <w:ilvl w:val="0"/>
          <w:numId w:val="1"/>
        </w:numPr>
      </w:pPr>
      <w:r w:rsidRPr="00B92A4E">
        <w:t>Plasma C-t data aid in under</w:t>
      </w:r>
      <w:r>
        <w:t>standing ADME</w:t>
      </w:r>
    </w:p>
    <w:p w14:paraId="44778476" w14:textId="58243850" w:rsidR="00B92A4E" w:rsidRDefault="00B92A4E" w:rsidP="00B92A4E">
      <w:pPr>
        <w:rPr>
          <w:lang w:val="fr-FR"/>
        </w:rPr>
      </w:pPr>
      <w:r w:rsidRPr="00B92A4E">
        <w:rPr>
          <w:lang w:val="fr-FR"/>
        </w:rPr>
        <w:t>** IV bolus dose(intravenous bolus dose) :</w:t>
      </w:r>
      <w:r>
        <w:rPr>
          <w:lang w:val="fr-FR"/>
        </w:rPr>
        <w:t xml:space="preserve"> directly intoa vein as a single, rapid injection.</w:t>
      </w:r>
    </w:p>
    <w:p w14:paraId="60D496A5" w14:textId="0B98BC8F" w:rsidR="00B92A4E" w:rsidRDefault="00B92A4E" w:rsidP="00B92A4E">
      <w:pPr>
        <w:pStyle w:val="ListParagraph"/>
        <w:numPr>
          <w:ilvl w:val="0"/>
          <w:numId w:val="1"/>
        </w:numPr>
      </w:pPr>
      <w:r w:rsidRPr="00B92A4E">
        <w:t>Using AUC, can check D</w:t>
      </w:r>
      <w:r>
        <w:t>rug exposure.</w:t>
      </w:r>
    </w:p>
    <w:p w14:paraId="2C4E3BAC" w14:textId="53EF66CA" w:rsidR="00B92A4E" w:rsidRPr="0033447C" w:rsidRDefault="0033447C" w:rsidP="0033447C">
      <w:pPr>
        <w:pStyle w:val="ListParagraph"/>
        <w:numPr>
          <w:ilvl w:val="0"/>
          <w:numId w:val="2"/>
        </w:numPr>
      </w:pPr>
      <w:r w:rsidRPr="0033447C">
        <w:t>Clearance(CL) – ml/min, L/</w:t>
      </w:r>
      <w:r>
        <w:t>h</w:t>
      </w:r>
    </w:p>
    <w:p w14:paraId="17B6019D" w14:textId="65DD60D1" w:rsidR="0033447C" w:rsidRDefault="0033447C" w:rsidP="0033447C">
      <w:pPr>
        <w:pStyle w:val="ListParagraph"/>
        <w:numPr>
          <w:ilvl w:val="0"/>
          <w:numId w:val="1"/>
        </w:numPr>
      </w:pPr>
      <w:r>
        <w:t>The volume of blood cleared of drug per unit time</w:t>
      </w:r>
    </w:p>
    <w:p w14:paraId="14FA3C5A" w14:textId="21F669E5" w:rsidR="0033447C" w:rsidRDefault="0033447C" w:rsidP="0033447C">
      <w:pPr>
        <w:pStyle w:val="ListParagraph"/>
        <w:numPr>
          <w:ilvl w:val="0"/>
          <w:numId w:val="1"/>
        </w:numPr>
      </w:pPr>
      <w:r>
        <w:t>Gives a sense of the drug’s elimination</w:t>
      </w:r>
    </w:p>
    <w:p w14:paraId="022D65DA" w14:textId="77777777" w:rsidR="0033447C" w:rsidRDefault="0033447C" w:rsidP="0033447C">
      <w:pPr>
        <w:pStyle w:val="ListParagraph"/>
      </w:pPr>
    </w:p>
    <w:p w14:paraId="6468846D" w14:textId="1B788B55" w:rsidR="0033447C" w:rsidRDefault="0033447C" w:rsidP="0033447C">
      <w:pPr>
        <w:pStyle w:val="ListParagraph"/>
        <w:numPr>
          <w:ilvl w:val="0"/>
          <w:numId w:val="2"/>
        </w:numPr>
      </w:pPr>
      <w:r>
        <w:t>Volumn of distribution (V)  - ml, L</w:t>
      </w:r>
    </w:p>
    <w:p w14:paraId="5DAAF07D" w14:textId="36DBB4C1" w:rsidR="0033447C" w:rsidRDefault="0033447C" w:rsidP="0033447C">
      <w:pPr>
        <w:pStyle w:val="ListParagraph"/>
        <w:numPr>
          <w:ilvl w:val="0"/>
          <w:numId w:val="1"/>
        </w:numPr>
      </w:pPr>
      <w:r>
        <w:t>A mathematical term to concert drug amount to concentration</w:t>
      </w:r>
    </w:p>
    <w:p w14:paraId="3E930C3A" w14:textId="5313B1B3" w:rsidR="0033447C" w:rsidRDefault="0033447C" w:rsidP="0033447C">
      <w:pPr>
        <w:pStyle w:val="ListParagraph"/>
        <w:numPr>
          <w:ilvl w:val="0"/>
          <w:numId w:val="1"/>
        </w:numPr>
      </w:pPr>
      <w:r>
        <w:t>Gives a sense of the drug’s distribution</w:t>
      </w:r>
    </w:p>
    <w:p w14:paraId="31B24F42" w14:textId="77777777" w:rsidR="0033447C" w:rsidRPr="00B92A4E" w:rsidRDefault="0033447C" w:rsidP="0033447C">
      <w:pPr>
        <w:pStyle w:val="ListParagraph"/>
      </w:pPr>
    </w:p>
    <w:p w14:paraId="4294153F" w14:textId="769A6963" w:rsidR="00B92A4E" w:rsidRDefault="0033447C" w:rsidP="0033447C">
      <w:pPr>
        <w:pStyle w:val="ListParagraph"/>
        <w:numPr>
          <w:ilvl w:val="0"/>
          <w:numId w:val="2"/>
        </w:numPr>
      </w:pPr>
      <w:r>
        <w:t>Bioavailability (F)</w:t>
      </w:r>
    </w:p>
    <w:p w14:paraId="09A769F7" w14:textId="59A55140" w:rsidR="0033447C" w:rsidRDefault="0033447C" w:rsidP="0033447C">
      <w:pPr>
        <w:pStyle w:val="ListParagraph"/>
        <w:numPr>
          <w:ilvl w:val="0"/>
          <w:numId w:val="1"/>
        </w:numPr>
      </w:pPr>
      <w:r>
        <w:t>Extent of drug absorbed into the systemic circulation upon an oral dose</w:t>
      </w:r>
    </w:p>
    <w:p w14:paraId="249CD548" w14:textId="50F792D4" w:rsidR="0033447C" w:rsidRDefault="0033447C" w:rsidP="0033447C">
      <w:pPr>
        <w:pStyle w:val="ListParagraph"/>
        <w:numPr>
          <w:ilvl w:val="0"/>
          <w:numId w:val="1"/>
        </w:numPr>
      </w:pPr>
      <w:r>
        <w:t>A Fraction or a percent</w:t>
      </w:r>
    </w:p>
    <w:p w14:paraId="2F12FEE0" w14:textId="3181AE90" w:rsidR="0033447C" w:rsidRDefault="0033447C" w:rsidP="0033447C">
      <w:pPr>
        <w:pStyle w:val="ListParagraph"/>
        <w:numPr>
          <w:ilvl w:val="0"/>
          <w:numId w:val="1"/>
        </w:numPr>
      </w:pPr>
      <w:r>
        <w:t>Gives a sense of the drug’s absorbstion</w:t>
      </w:r>
    </w:p>
    <w:p w14:paraId="43A59A30" w14:textId="2B0FD1AE" w:rsidR="0033447C" w:rsidRDefault="0033447C" w:rsidP="0033447C"/>
    <w:p w14:paraId="28DA1043" w14:textId="4AFBACCD" w:rsidR="0033447C" w:rsidRDefault="0033447C" w:rsidP="0033447C">
      <w:pPr>
        <w:pStyle w:val="ListParagraph"/>
        <w:numPr>
          <w:ilvl w:val="0"/>
          <w:numId w:val="3"/>
        </w:numPr>
      </w:pPr>
      <w:r>
        <w:t>Linear Pharmacokinetics</w:t>
      </w:r>
    </w:p>
    <w:p w14:paraId="75064F86" w14:textId="0509947C" w:rsidR="0033447C" w:rsidRDefault="0033447C" w:rsidP="0033447C">
      <w:pPr>
        <w:pStyle w:val="ListParagraph"/>
        <w:numPr>
          <w:ilvl w:val="0"/>
          <w:numId w:val="1"/>
        </w:numPr>
      </w:pPr>
      <w:r>
        <w:t>Two core assumptions ( dose and time invariant)</w:t>
      </w:r>
    </w:p>
    <w:p w14:paraId="0BAF9119" w14:textId="12DA199F" w:rsidR="0033447C" w:rsidRDefault="0033447C" w:rsidP="0033447C">
      <w:pPr>
        <w:pStyle w:val="ListParagraph"/>
        <w:numPr>
          <w:ilvl w:val="0"/>
          <w:numId w:val="4"/>
        </w:numPr>
      </w:pPr>
      <w:r>
        <w:t>Dose invariance : PK parameters do not change when the dose changes.</w:t>
      </w:r>
    </w:p>
    <w:p w14:paraId="6C4865E9" w14:textId="38A6E55B" w:rsidR="00A91605" w:rsidRDefault="00A91605" w:rsidP="00A91605">
      <w:pPr>
        <w:pStyle w:val="ListParagraph"/>
        <w:ind w:left="1080"/>
      </w:pPr>
      <w:r w:rsidRPr="00A91605">
        <w:rPr>
          <w:noProof/>
        </w:rPr>
        <w:drawing>
          <wp:inline distT="0" distB="0" distL="0" distR="0" wp14:anchorId="75B9A5F4" wp14:editId="6D730C0C">
            <wp:extent cx="2010056" cy="1200318"/>
            <wp:effectExtent l="0" t="0" r="9525" b="0"/>
            <wp:docPr id="208026583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265838" name="Picture 1" descr="A black background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00B88" w14:textId="584209C4" w:rsidR="0033447C" w:rsidRDefault="0033447C" w:rsidP="0033447C">
      <w:pPr>
        <w:pStyle w:val="ListParagraph"/>
        <w:numPr>
          <w:ilvl w:val="0"/>
          <w:numId w:val="4"/>
        </w:numPr>
      </w:pPr>
      <w:r>
        <w:t>Time invariance : PK behavior do not change with repeated dosing</w:t>
      </w:r>
    </w:p>
    <w:p w14:paraId="730C844D" w14:textId="20C929C4" w:rsidR="00A91605" w:rsidRDefault="00A91605" w:rsidP="00A91605">
      <w:pPr>
        <w:ind w:left="720"/>
      </w:pPr>
      <w:r w:rsidRPr="00A91605">
        <w:rPr>
          <w:noProof/>
        </w:rPr>
        <w:lastRenderedPageBreak/>
        <w:drawing>
          <wp:inline distT="0" distB="0" distL="0" distR="0" wp14:anchorId="6053FFEB" wp14:editId="6883F4FF">
            <wp:extent cx="3909060" cy="2803999"/>
            <wp:effectExtent l="0" t="0" r="0" b="0"/>
            <wp:docPr id="954555783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555783" name="Picture 1" descr="A screenshot of a graph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2508" cy="2806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1C3F7" w14:textId="726D6732" w:rsidR="00B556CE" w:rsidRDefault="00B556CE" w:rsidP="00B556CE">
      <w:pPr>
        <w:pStyle w:val="ListParagraph"/>
        <w:numPr>
          <w:ilvl w:val="0"/>
          <w:numId w:val="3"/>
        </w:numPr>
      </w:pPr>
      <w:r>
        <w:t>NCA ( Non Compartment Analysis)</w:t>
      </w:r>
    </w:p>
    <w:p w14:paraId="71C451CF" w14:textId="6BD16B43" w:rsidR="00B556CE" w:rsidRDefault="00B556CE" w:rsidP="00B556CE">
      <w:pPr>
        <w:pStyle w:val="ListParagraph"/>
        <w:numPr>
          <w:ilvl w:val="0"/>
          <w:numId w:val="1"/>
        </w:numPr>
      </w:pPr>
      <w:r>
        <w:t>Determining AUC, use trapezoid area calculation.</w:t>
      </w:r>
    </w:p>
    <w:p w14:paraId="2DF55E00" w14:textId="10C8B53C" w:rsidR="00B556CE" w:rsidRDefault="00B556CE" w:rsidP="00B556CE">
      <w:pPr>
        <w:pStyle w:val="ListParagraph"/>
        <w:numPr>
          <w:ilvl w:val="0"/>
          <w:numId w:val="1"/>
        </w:numPr>
      </w:pPr>
      <w:r w:rsidRPr="00B556CE">
        <w:rPr>
          <w:noProof/>
        </w:rPr>
        <w:drawing>
          <wp:inline distT="0" distB="0" distL="0" distR="0" wp14:anchorId="7EDD897F" wp14:editId="46E5E7D9">
            <wp:extent cx="3893341" cy="2529840"/>
            <wp:effectExtent l="0" t="0" r="0" b="3810"/>
            <wp:docPr id="439251327" name="Picture 1" descr="A graph and diagram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251327" name="Picture 1" descr="A graph and diagram of a functio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7849" cy="2532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D43C8" w14:textId="77777777" w:rsidR="003E3BF5" w:rsidRDefault="003E3BF5" w:rsidP="003E3BF5"/>
    <w:p w14:paraId="556CC97C" w14:textId="7D0DC440" w:rsidR="003E3BF5" w:rsidRDefault="003E3BF5" w:rsidP="003E3BF5">
      <w:pPr>
        <w:pStyle w:val="ListParagraph"/>
        <w:numPr>
          <w:ilvl w:val="0"/>
          <w:numId w:val="3"/>
        </w:numPr>
      </w:pPr>
      <w:r>
        <w:t>Compartmental modeling</w:t>
      </w:r>
    </w:p>
    <w:p w14:paraId="60DE62B8" w14:textId="23AECA8F" w:rsidR="003E3BF5" w:rsidRDefault="003E3BF5" w:rsidP="003E3BF5">
      <w:pPr>
        <w:pStyle w:val="ListParagraph"/>
        <w:numPr>
          <w:ilvl w:val="0"/>
          <w:numId w:val="1"/>
        </w:numPr>
      </w:pPr>
      <w:r>
        <w:t xml:space="preserve">Represent the body as a single compartment or a series of </w:t>
      </w:r>
      <w:r w:rsidR="00647A67">
        <w:t>compartments</w:t>
      </w:r>
      <w:r>
        <w:t xml:space="preserve"> that are reversibly linked to one another</w:t>
      </w:r>
    </w:p>
    <w:p w14:paraId="7ED7BDC6" w14:textId="77777777" w:rsidR="00925BB3" w:rsidRDefault="00925BB3" w:rsidP="00925BB3"/>
    <w:p w14:paraId="78037051" w14:textId="77777777" w:rsidR="00925BB3" w:rsidRDefault="00925BB3" w:rsidP="00925BB3"/>
    <w:p w14:paraId="00A552CB" w14:textId="77777777" w:rsidR="00925BB3" w:rsidRDefault="00925BB3" w:rsidP="00925BB3"/>
    <w:p w14:paraId="05667578" w14:textId="42E59150" w:rsidR="00925BB3" w:rsidRDefault="00925BB3" w:rsidP="00925BB3">
      <w:r>
        <w:lastRenderedPageBreak/>
        <w:t>Actual Study</w:t>
      </w:r>
    </w:p>
    <w:p w14:paraId="52F4B5B8" w14:textId="33A8039F" w:rsidR="00925BB3" w:rsidRDefault="00925BB3" w:rsidP="00925BB3">
      <w:pPr>
        <w:pStyle w:val="ListParagraph"/>
        <w:numPr>
          <w:ilvl w:val="0"/>
          <w:numId w:val="5"/>
        </w:numPr>
      </w:pPr>
      <w:r>
        <w:t>1 Compartment Analysis</w:t>
      </w:r>
    </w:p>
    <w:p w14:paraId="3FB91472" w14:textId="21651AA2" w:rsidR="00925BB3" w:rsidRDefault="00925BB3" w:rsidP="00925BB3">
      <w:pPr>
        <w:pStyle w:val="ListParagraph"/>
        <w:numPr>
          <w:ilvl w:val="0"/>
          <w:numId w:val="1"/>
        </w:numPr>
      </w:pPr>
      <w:r>
        <w:t>Views the human body as one large bucket with one outflow port at the bottom.</w:t>
      </w:r>
    </w:p>
    <w:p w14:paraId="398D894A" w14:textId="15813BC4" w:rsidR="00925BB3" w:rsidRPr="00B92A4E" w:rsidRDefault="00925BB3" w:rsidP="00925BB3">
      <w:pPr>
        <w:pStyle w:val="ListParagraph"/>
        <w:numPr>
          <w:ilvl w:val="0"/>
          <w:numId w:val="1"/>
        </w:numPr>
      </w:pPr>
      <w:r>
        <w:t>Compartment models can reveal insight into a drug’s underlying effects that are not always obvious.</w:t>
      </w:r>
    </w:p>
    <w:sectPr w:rsidR="00925BB3" w:rsidRPr="00B92A4E">
      <w:headerReference w:type="even" r:id="rId10"/>
      <w:headerReference w:type="default" r:id="rId11"/>
      <w:head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B0F94" w14:textId="77777777" w:rsidR="000277BF" w:rsidRDefault="000277BF" w:rsidP="000277BF">
      <w:pPr>
        <w:spacing w:after="0" w:line="240" w:lineRule="auto"/>
      </w:pPr>
      <w:r>
        <w:separator/>
      </w:r>
    </w:p>
  </w:endnote>
  <w:endnote w:type="continuationSeparator" w:id="0">
    <w:p w14:paraId="2D737954" w14:textId="77777777" w:rsidR="000277BF" w:rsidRDefault="000277BF" w:rsidP="000277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9E030" w14:textId="77777777" w:rsidR="000277BF" w:rsidRDefault="000277BF" w:rsidP="000277BF">
      <w:pPr>
        <w:spacing w:after="0" w:line="240" w:lineRule="auto"/>
      </w:pPr>
      <w:r>
        <w:separator/>
      </w:r>
    </w:p>
  </w:footnote>
  <w:footnote w:type="continuationSeparator" w:id="0">
    <w:p w14:paraId="72DA50C7" w14:textId="77777777" w:rsidR="000277BF" w:rsidRDefault="000277BF" w:rsidP="000277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D9756" w14:textId="6E1D0A29" w:rsidR="000277BF" w:rsidRDefault="000277B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B1BC944" wp14:editId="3E342A60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27380" cy="405765"/>
              <wp:effectExtent l="0" t="0" r="1270" b="13335"/>
              <wp:wrapNone/>
              <wp:docPr id="2019312891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738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869CD7" w14:textId="353BB8DA" w:rsidR="000277BF" w:rsidRPr="000277BF" w:rsidRDefault="000277BF" w:rsidP="000277B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3C03C"/>
                            </w:rPr>
                          </w:pPr>
                          <w:r w:rsidRPr="000277BF">
                            <w:rPr>
                              <w:rFonts w:ascii="Calibri" w:eastAsia="Calibri" w:hAnsi="Calibri" w:cs="Calibri"/>
                              <w:noProof/>
                              <w:color w:val="03C03C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1BC94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" style="position:absolute;margin-left:0;margin-top:0;width:49.4pt;height:31.9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" filled="f" stroked="f">
              <v:fill o:detectmouseclick="t"/>
              <v:textbox style="mso-fit-shape-to-text:t" inset="20pt,15pt,0,0">
                <w:txbxContent>
                  <w:p w14:paraId="46869CD7" w14:textId="353BB8DA" w:rsidR="000277BF" w:rsidRPr="000277BF" w:rsidRDefault="000277BF" w:rsidP="000277B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3C03C"/>
                      </w:rPr>
                    </w:pPr>
                    <w:r w:rsidRPr="000277BF">
                      <w:rPr>
                        <w:rFonts w:ascii="Calibri" w:eastAsia="Calibri" w:hAnsi="Calibri" w:cs="Calibri"/>
                        <w:noProof/>
                        <w:color w:val="03C03C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93CCE" w14:textId="2F565F5E" w:rsidR="000277BF" w:rsidRDefault="000277B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F957397" wp14:editId="0EBFA300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627380" cy="405765"/>
              <wp:effectExtent l="0" t="0" r="1270" b="13335"/>
              <wp:wrapNone/>
              <wp:docPr id="1723948235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738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D7A429" w14:textId="55C1B533" w:rsidR="000277BF" w:rsidRPr="000277BF" w:rsidRDefault="000277BF" w:rsidP="000277B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3C03C"/>
                            </w:rPr>
                          </w:pPr>
                          <w:r w:rsidRPr="000277BF">
                            <w:rPr>
                              <w:rFonts w:ascii="Calibri" w:eastAsia="Calibri" w:hAnsi="Calibri" w:cs="Calibri"/>
                              <w:noProof/>
                              <w:color w:val="03C03C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95739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" style="position:absolute;margin-left:0;margin-top:0;width:49.4pt;height:31.9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" filled="f" stroked="f">
              <v:fill o:detectmouseclick="t"/>
              <v:textbox style="mso-fit-shape-to-text:t" inset="20pt,15pt,0,0">
                <w:txbxContent>
                  <w:p w14:paraId="72D7A429" w14:textId="55C1B533" w:rsidR="000277BF" w:rsidRPr="000277BF" w:rsidRDefault="000277BF" w:rsidP="000277B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3C03C"/>
                      </w:rPr>
                    </w:pPr>
                    <w:r w:rsidRPr="000277BF">
                      <w:rPr>
                        <w:rFonts w:ascii="Calibri" w:eastAsia="Calibri" w:hAnsi="Calibri" w:cs="Calibri"/>
                        <w:noProof/>
                        <w:color w:val="03C03C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F7479" w14:textId="27BC38AF" w:rsidR="000277BF" w:rsidRDefault="000277B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AD76BEF" wp14:editId="71AB2C06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27380" cy="405765"/>
              <wp:effectExtent l="0" t="0" r="1270" b="13335"/>
              <wp:wrapNone/>
              <wp:docPr id="112884039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738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C435F6" w14:textId="4556F3B6" w:rsidR="000277BF" w:rsidRPr="000277BF" w:rsidRDefault="000277BF" w:rsidP="000277B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3C03C"/>
                            </w:rPr>
                          </w:pPr>
                          <w:r w:rsidRPr="000277BF">
                            <w:rPr>
                              <w:rFonts w:ascii="Calibri" w:eastAsia="Calibri" w:hAnsi="Calibri" w:cs="Calibri"/>
                              <w:noProof/>
                              <w:color w:val="03C03C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D76BE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" style="position:absolute;margin-left:0;margin-top:0;width:49.4pt;height:31.9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1FC435F6" w14:textId="4556F3B6" w:rsidR="000277BF" w:rsidRPr="000277BF" w:rsidRDefault="000277BF" w:rsidP="000277B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3C03C"/>
                      </w:rPr>
                    </w:pPr>
                    <w:r w:rsidRPr="000277BF">
                      <w:rPr>
                        <w:rFonts w:ascii="Calibri" w:eastAsia="Calibri" w:hAnsi="Calibri" w:cs="Calibri"/>
                        <w:noProof/>
                        <w:color w:val="03C03C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158C3"/>
    <w:multiLevelType w:val="hybridMultilevel"/>
    <w:tmpl w:val="37FE6046"/>
    <w:lvl w:ilvl="0" w:tplc="90940EAC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F41B15"/>
    <w:multiLevelType w:val="hybridMultilevel"/>
    <w:tmpl w:val="A24AA1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34260B"/>
    <w:multiLevelType w:val="hybridMultilevel"/>
    <w:tmpl w:val="ADF06B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540F56"/>
    <w:multiLevelType w:val="hybridMultilevel"/>
    <w:tmpl w:val="5D18FC0E"/>
    <w:lvl w:ilvl="0" w:tplc="01CC3D34">
      <w:start w:val="1"/>
      <w:numFmt w:val="bullet"/>
      <w:lvlText w:val=""/>
      <w:lvlJc w:val="left"/>
      <w:pPr>
        <w:ind w:left="108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FD81145"/>
    <w:multiLevelType w:val="hybridMultilevel"/>
    <w:tmpl w:val="FB4E801A"/>
    <w:lvl w:ilvl="0" w:tplc="E7C2898A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2250145">
    <w:abstractNumId w:val="0"/>
  </w:num>
  <w:num w:numId="2" w16cid:durableId="1104299318">
    <w:abstractNumId w:val="4"/>
  </w:num>
  <w:num w:numId="3" w16cid:durableId="366220614">
    <w:abstractNumId w:val="1"/>
  </w:num>
  <w:num w:numId="4" w16cid:durableId="74472203">
    <w:abstractNumId w:val="3"/>
  </w:num>
  <w:num w:numId="5" w16cid:durableId="7466076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A4E"/>
    <w:rsid w:val="000277BF"/>
    <w:rsid w:val="0033447C"/>
    <w:rsid w:val="003E3BF5"/>
    <w:rsid w:val="006054C5"/>
    <w:rsid w:val="00647A67"/>
    <w:rsid w:val="00925BB3"/>
    <w:rsid w:val="00A91605"/>
    <w:rsid w:val="00B556CE"/>
    <w:rsid w:val="00B92A4E"/>
    <w:rsid w:val="00E47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F78B9C"/>
  <w15:chartTrackingRefBased/>
  <w15:docId w15:val="{D13C5476-70AE-4DA2-AB2A-C91BE68B5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A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A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A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A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A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A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A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A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A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A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A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A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A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A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A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A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A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A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A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A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A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A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A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A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A4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277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77BF"/>
  </w:style>
  <w:style w:type="paragraph" w:styleId="Footer">
    <w:name w:val="footer"/>
    <w:basedOn w:val="Normal"/>
    <w:link w:val="FooterChar"/>
    <w:uiPriority w:val="99"/>
    <w:unhideWhenUsed/>
    <w:rsid w:val="00925B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5B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205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Jeong, Geo</dc:creator>
  <cp:keywords/>
  <dc:description/>
  <cp:lastModifiedBy>Jeong, Geo</cp:lastModifiedBy>
  <cp:revision>2</cp:revision>
  <dcterms:created xsi:type="dcterms:W3CDTF">2026-04-23T15:36:00Z</dcterms:created>
  <dcterms:modified xsi:type="dcterms:W3CDTF">2026-04-23T19:54:00Z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6ba7947,785c44fb,66c15ccb</vt:lpwstr>
  </property>
  <property fmtid="{D5CDD505-2E9C-101B-9397-08002B2CF9AE}" pid="3" name="ClassificationContentMarkingHeaderFontProps">
    <vt:lpwstr>#03c03c,12,Calibri</vt:lpwstr>
  </property>
  <property fmtid="{D5CDD505-2E9C-101B-9397-08002B2CF9AE}" pid="4" name="ClassificationContentMarkingHeaderText">
    <vt:lpwstr>Public</vt:lpwstr>
  </property>
  <property fmtid="{D5CDD505-2E9C-101B-9397-08002B2CF9AE}" pid="5" name="MSIP_Label_794a5f65-4bbe-4bbe-bb66-e23e35795661_Enabled">
    <vt:lpwstr>true</vt:lpwstr>
  </property>
  <property fmtid="{D5CDD505-2E9C-101B-9397-08002B2CF9AE}" pid="6" name="MSIP_Label_794a5f65-4bbe-4bbe-bb66-e23e35795661_SetDate">
    <vt:lpwstr>2026-04-23T19:34:00Z</vt:lpwstr>
  </property>
  <property fmtid="{D5CDD505-2E9C-101B-9397-08002B2CF9AE}" pid="7" name="MSIP_Label_794a5f65-4bbe-4bbe-bb66-e23e35795661_Method">
    <vt:lpwstr>Privileged</vt:lpwstr>
  </property>
  <property fmtid="{D5CDD505-2E9C-101B-9397-08002B2CF9AE}" pid="8" name="MSIP_Label_794a5f65-4bbe-4bbe-bb66-e23e35795661_Name">
    <vt:lpwstr>794a5f65-4bbe-4bbe-bb66-e23e35795661</vt:lpwstr>
  </property>
  <property fmtid="{D5CDD505-2E9C-101B-9397-08002B2CF9AE}" pid="9" name="MSIP_Label_794a5f65-4bbe-4bbe-bb66-e23e35795661_SiteId">
    <vt:lpwstr>a00de4ec-48a8-43a6-be74-e31274e2060d</vt:lpwstr>
  </property>
  <property fmtid="{D5CDD505-2E9C-101B-9397-08002B2CF9AE}" pid="10" name="MSIP_Label_794a5f65-4bbe-4bbe-bb66-e23e35795661_ActionId">
    <vt:lpwstr>103dc9ec-de7e-41a3-835f-f77f53362541</vt:lpwstr>
  </property>
  <property fmtid="{D5CDD505-2E9C-101B-9397-08002B2CF9AE}" pid="11" name="MSIP_Label_794a5f65-4bbe-4bbe-bb66-e23e35795661_ContentBits">
    <vt:lpwstr>1</vt:lpwstr>
  </property>
  <property fmtid="{D5CDD505-2E9C-101B-9397-08002B2CF9AE}" pid="12" name="MSIP_Label_794a5f65-4bbe-4bbe-bb66-e23e35795661_Tag">
    <vt:lpwstr>10, 0, 1, 1</vt:lpwstr>
  </property>
</Properties>
</file>