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Melanie Gagnon</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Head of Financial Analysis</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Bachelor of Commerce (BComm) (Major in Management, Minor in Managerial Accountancy)</w:t>
              <w:br/>
              <w:t xml:space="preserve">• International MBA – Master in Business Administration</w:t>
              <w:br/>
              <w:t xml:space="preserve">• Executive Development Program for High Potential Women</w:t>
              <w:br/>
              <w:t xml:space="preserve">• International Project Finance</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Lead the financial analysis for bidding and asset management of PPP projects.  Manage a team, create and audit financial models, secure financing, and negotiate contracts.  Ensure successful financial close and ongoing financial management of awarded projects.</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Ongoing projects include: Inland Rail (2021), Fargo Diversion Channel (USA, 2021), Transmission Lines Peru (2020, 2021).  Timelines vary depending on project phase.</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Recent bid processes include: Inland Rail (2021), Fargo Diversion Channel (USA, 2021), Transmission Lines Peru (2020, 2021), and several others listed in the resume.</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Toowoomba Second Range Crossing</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(D&amp;C,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PPP</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2014-2015</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Australia</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N/A</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 Preliminary financial evaluation</w:t>
              <w:br/>
              <w:t xml:space="preserve">• Project Finance Modelling</w:t>
              <w:br/>
              <w:t xml:space="preserve">• Financial model audit and/or creation</w:t>
              <w:br/>
              <w:t xml:space="preserve">• Accounting, tax, term sheets, negotiations</w:t>
              <w:br/>
              <w:t xml:space="preserve">• Review of documents and internal reporting for approval</w:t>
              <w:br/>
              <w:t xml:space="preserve">• Closing of financial conditions and contracts</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 Bid process, Contract Close  Financial Close</w:t>
              <w:br/>
              <w:t xml:space="preserve">• Successful financial model creation and audit</w:t>
              <w:br/>
              <w:t xml:space="preserve">• Secured project financing and contract negotiation</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Fargo Diversion Channel</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2021</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USA</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N/A</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 Preliminary financial evaluation</w:t>
              <w:br/>
              <w:t xml:space="preserve">• Project Finance Modelling</w:t>
              <w:br/>
              <w:t xml:space="preserve">• Financial model audit and/or creation</w:t>
              <w:br/>
              <w:t xml:space="preserve">• Accounting, tax, term sheets, negotiations</w:t>
              <w:br/>
              <w:t xml:space="preserve">• Review of documents and internal reporting for approval</w:t>
              <w:br/>
              <w:t xml:space="preserve">• Closing of financial conditions and contracts</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 Bid process, Contract Close  Financial Close</w:t>
              <w:br/>
              <w:t xml:space="preserve">• Successful financial model creation and audit</w:t>
              <w:br/>
              <w:t xml:space="preserve">• Secured project financing and contract negotiation</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Extensive experience in PPP project finance, from bid process to financial close. Proven ability to manage complex financial models, secure financing, and negotiate contracts.  Strong track record of successful project delivery and financial management. Expertise in international projects across various sectors.</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