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98843" w14:textId="6E98C63D" w:rsidR="00B06E0C" w:rsidRDefault="00A255F5">
      <w:r>
        <w:t>Climate change is one of the most pressing issues of our time. Rising global temperatures, melting glaciers, and increasing sea levels threaten ecosystems and human communities worldwide. Sustainable practices, such as reducing greenhouse gas emissions, using renewable energy, and conserving forests, are essential to mitigate these impacts. Public awareness campaigns and government policies play a crucial role in encouraging environmentally friendly behavior. Individual actions, like recycling, using public transportation, and minimizing energy consumption, can also contribute. Protecting our planet requires collective effort, scientific innovation, and a commitment to long-term environmental stewardship.</w:t>
      </w:r>
    </w:p>
    <w:sectPr w:rsidR="00B06E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75"/>
    <w:rsid w:val="007C6475"/>
    <w:rsid w:val="00A255F5"/>
    <w:rsid w:val="00AB7D07"/>
    <w:rsid w:val="00AF50B1"/>
    <w:rsid w:val="00B06E0C"/>
    <w:rsid w:val="00B51EFF"/>
    <w:rsid w:val="00BA60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B3E2AD-13F5-424E-9A1B-F562FF99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NoteBook</cp:lastModifiedBy>
  <cp:revision>2</cp:revision>
  <dcterms:created xsi:type="dcterms:W3CDTF">2025-12-26T21:09:00Z</dcterms:created>
  <dcterms:modified xsi:type="dcterms:W3CDTF">2025-12-26T21:09:00Z</dcterms:modified>
</cp:coreProperties>
</file>