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DB3013" w14:textId="77777777" w:rsidR="008B089A" w:rsidRDefault="00000000">
      <w:pPr>
        <w:pStyle w:val="Title"/>
        <w:keepNext w:val="0"/>
        <w:keepLines w:val="0"/>
        <w:spacing w:before="320" w:after="0" w:line="240" w:lineRule="auto"/>
        <w:rPr>
          <w:rFonts w:ascii="Proxima Nova" w:eastAsia="Proxima Nova" w:hAnsi="Proxima Nova" w:cs="Proxima Nova"/>
          <w:b/>
          <w:color w:val="4A86E8"/>
          <w:sz w:val="58"/>
          <w:szCs w:val="58"/>
        </w:rPr>
      </w:pPr>
      <w:bookmarkStart w:id="0" w:name="_5x0d5h95i329" w:colFirst="0" w:colLast="0"/>
      <w:bookmarkEnd w:id="0"/>
      <w:r>
        <w:rPr>
          <w:rFonts w:ascii="Google Sans" w:eastAsia="Google Sans" w:hAnsi="Google Sans" w:cs="Google Sans"/>
          <w:b/>
          <w:color w:val="4A86E8"/>
          <w:sz w:val="58"/>
          <w:szCs w:val="58"/>
        </w:rPr>
        <w:t>Vulnerability Assessment Report</w:t>
      </w:r>
    </w:p>
    <w:p w14:paraId="58D01866" w14:textId="65B3649E" w:rsidR="008B089A" w:rsidRDefault="00171842">
      <w:pPr>
        <w:pStyle w:val="Subtitle"/>
        <w:keepNext w:val="0"/>
        <w:keepLines w:val="0"/>
        <w:spacing w:after="0" w:line="240" w:lineRule="auto"/>
        <w:rPr>
          <w:rFonts w:ascii="Google Sans" w:eastAsia="Google Sans" w:hAnsi="Google Sans" w:cs="Google Sans"/>
          <w:b/>
          <w:sz w:val="28"/>
          <w:szCs w:val="28"/>
        </w:rPr>
      </w:pPr>
      <w:bookmarkStart w:id="1" w:name="_af80tl7prv5v" w:colFirst="0" w:colLast="0"/>
      <w:bookmarkEnd w:id="1"/>
      <w:r>
        <w:rPr>
          <w:rFonts w:ascii="Google Sans" w:eastAsia="Google Sans" w:hAnsi="Google Sans" w:cs="Google Sans"/>
          <w:b/>
          <w:sz w:val="28"/>
          <w:szCs w:val="28"/>
        </w:rPr>
        <w:t>18</w:t>
      </w:r>
      <w:r w:rsidRPr="00171842">
        <w:rPr>
          <w:rFonts w:ascii="Google Sans" w:eastAsia="Google Sans" w:hAnsi="Google Sans" w:cs="Google Sans"/>
          <w:b/>
          <w:sz w:val="28"/>
          <w:szCs w:val="28"/>
          <w:vertAlign w:val="superscript"/>
        </w:rPr>
        <w:t>th</w:t>
      </w:r>
      <w:r>
        <w:rPr>
          <w:rFonts w:ascii="Google Sans" w:eastAsia="Google Sans" w:hAnsi="Google Sans" w:cs="Google Sans"/>
          <w:b/>
          <w:sz w:val="28"/>
          <w:szCs w:val="28"/>
        </w:rPr>
        <w:t xml:space="preserve"> October </w:t>
      </w:r>
      <w:r w:rsidR="00000000">
        <w:rPr>
          <w:rFonts w:ascii="Google Sans" w:eastAsia="Google Sans" w:hAnsi="Google Sans" w:cs="Google Sans"/>
          <w:b/>
          <w:sz w:val="28"/>
          <w:szCs w:val="28"/>
        </w:rPr>
        <w:t>20</w:t>
      </w:r>
      <w:r>
        <w:rPr>
          <w:rFonts w:ascii="Google Sans" w:eastAsia="Google Sans" w:hAnsi="Google Sans" w:cs="Google Sans"/>
          <w:b/>
          <w:sz w:val="28"/>
          <w:szCs w:val="28"/>
        </w:rPr>
        <w:t>24</w:t>
      </w:r>
    </w:p>
    <w:p w14:paraId="4244F68B" w14:textId="77777777" w:rsidR="008B089A" w:rsidRDefault="00000000">
      <w:pPr>
        <w:pStyle w:val="Subtitle"/>
        <w:keepNext w:val="0"/>
        <w:keepLines w:val="0"/>
        <w:spacing w:after="0" w:line="240" w:lineRule="auto"/>
        <w:rPr>
          <w:rFonts w:ascii="Google Sans" w:eastAsia="Google Sans" w:hAnsi="Google Sans" w:cs="Google Sans"/>
          <w:b/>
          <w:sz w:val="28"/>
          <w:szCs w:val="28"/>
        </w:rPr>
      </w:pPr>
      <w:bookmarkStart w:id="2" w:name="_nhcy8rpxthcf" w:colFirst="0" w:colLast="0"/>
      <w:bookmarkEnd w:id="2"/>
      <w:r>
        <w:pict w14:anchorId="7EB13601">
          <v:rect id="_x0000_i1025" style="width:0;height:1.5pt" o:hralign="center" o:hrstd="t" o:hr="t" fillcolor="#a0a0a0" stroked="f"/>
        </w:pict>
      </w:r>
    </w:p>
    <w:p w14:paraId="6AB30524" w14:textId="77777777" w:rsidR="008B089A"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3" w:name="_buc6q0k08dmn" w:colFirst="0" w:colLast="0"/>
      <w:bookmarkEnd w:id="3"/>
      <w:r>
        <w:rPr>
          <w:rFonts w:ascii="Proxima Nova" w:eastAsia="Proxima Nova" w:hAnsi="Proxima Nova" w:cs="Proxima Nova"/>
          <w:b/>
          <w:color w:val="353744"/>
          <w:sz w:val="28"/>
          <w:szCs w:val="28"/>
        </w:rPr>
        <w:t>System Description</w:t>
      </w:r>
    </w:p>
    <w:p w14:paraId="6646C65D" w14:textId="77777777" w:rsidR="004A72F9"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 xml:space="preserve">The server hardware consists of a </w:t>
      </w:r>
      <w:r w:rsidRPr="004A72F9">
        <w:rPr>
          <w:rFonts w:ascii="Google Sans" w:eastAsia="Google Sans" w:hAnsi="Google Sans" w:cs="Google Sans"/>
          <w:color w:val="353744"/>
          <w:highlight w:val="yellow"/>
        </w:rPr>
        <w:t>powerful CPU processor and 128GB</w:t>
      </w:r>
      <w:r>
        <w:rPr>
          <w:rFonts w:ascii="Google Sans" w:eastAsia="Google Sans" w:hAnsi="Google Sans" w:cs="Google Sans"/>
          <w:color w:val="353744"/>
        </w:rPr>
        <w:t xml:space="preserve"> of memory. </w:t>
      </w:r>
    </w:p>
    <w:p w14:paraId="3766906D" w14:textId="77777777" w:rsidR="004A72F9"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 xml:space="preserve">It runs on the </w:t>
      </w:r>
      <w:r w:rsidRPr="004A72F9">
        <w:rPr>
          <w:rFonts w:ascii="Google Sans" w:eastAsia="Google Sans" w:hAnsi="Google Sans" w:cs="Google Sans"/>
          <w:color w:val="353744"/>
          <w:highlight w:val="yellow"/>
        </w:rPr>
        <w:t>latest version of Linux</w:t>
      </w:r>
      <w:r>
        <w:rPr>
          <w:rFonts w:ascii="Google Sans" w:eastAsia="Google Sans" w:hAnsi="Google Sans" w:cs="Google Sans"/>
          <w:color w:val="353744"/>
        </w:rPr>
        <w:t xml:space="preserve"> operating system and</w:t>
      </w:r>
    </w:p>
    <w:p w14:paraId="6E1C04CD" w14:textId="77777777" w:rsidR="004A72F9"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 xml:space="preserve"> </w:t>
      </w:r>
      <w:r w:rsidRPr="004A72F9">
        <w:rPr>
          <w:rFonts w:ascii="Google Sans" w:eastAsia="Google Sans" w:hAnsi="Google Sans" w:cs="Google Sans"/>
          <w:color w:val="353744"/>
          <w:highlight w:val="yellow"/>
        </w:rPr>
        <w:t>hosts a MySQL</w:t>
      </w:r>
      <w:r>
        <w:rPr>
          <w:rFonts w:ascii="Google Sans" w:eastAsia="Google Sans" w:hAnsi="Google Sans" w:cs="Google Sans"/>
          <w:color w:val="353744"/>
        </w:rPr>
        <w:t xml:space="preserve"> database management system. </w:t>
      </w:r>
    </w:p>
    <w:p w14:paraId="14E18AE4" w14:textId="77777777" w:rsidR="004A72F9"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 xml:space="preserve">It is </w:t>
      </w:r>
      <w:r w:rsidRPr="004A72F9">
        <w:rPr>
          <w:rFonts w:ascii="Google Sans" w:eastAsia="Google Sans" w:hAnsi="Google Sans" w:cs="Google Sans"/>
          <w:color w:val="353744"/>
          <w:highlight w:val="yellow"/>
        </w:rPr>
        <w:t>configured with a stable network connection using IPv4 addresses</w:t>
      </w:r>
      <w:r>
        <w:rPr>
          <w:rFonts w:ascii="Google Sans" w:eastAsia="Google Sans" w:hAnsi="Google Sans" w:cs="Google Sans"/>
          <w:color w:val="353744"/>
        </w:rPr>
        <w:t xml:space="preserve"> and interacts with other servers on the network. </w:t>
      </w:r>
    </w:p>
    <w:p w14:paraId="70D91D54" w14:textId="43F1233C" w:rsidR="008B089A"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 xml:space="preserve">Security measures include </w:t>
      </w:r>
      <w:r w:rsidRPr="004A72F9">
        <w:rPr>
          <w:rFonts w:ascii="Google Sans" w:eastAsia="Google Sans" w:hAnsi="Google Sans" w:cs="Google Sans"/>
          <w:color w:val="353744"/>
          <w:highlight w:val="yellow"/>
        </w:rPr>
        <w:t>SSL/TLS encrypted</w:t>
      </w:r>
      <w:r>
        <w:rPr>
          <w:rFonts w:ascii="Google Sans" w:eastAsia="Google Sans" w:hAnsi="Google Sans" w:cs="Google Sans"/>
          <w:color w:val="353744"/>
        </w:rPr>
        <w:t xml:space="preserve"> connections.</w:t>
      </w:r>
    </w:p>
    <w:p w14:paraId="52183352" w14:textId="327AD136" w:rsidR="004A72F9" w:rsidRDefault="004A72F9">
      <w:pPr>
        <w:spacing w:before="200" w:line="312" w:lineRule="auto"/>
        <w:rPr>
          <w:rFonts w:ascii="Google Sans" w:eastAsia="Google Sans" w:hAnsi="Google Sans" w:cs="Google Sans"/>
          <w:color w:val="353744"/>
        </w:rPr>
      </w:pPr>
      <w:r>
        <w:rPr>
          <w:rFonts w:ascii="Google Sans" w:eastAsia="Google Sans" w:hAnsi="Google Sans" w:cs="Google Sans"/>
          <w:color w:val="353744"/>
        </w:rPr>
        <w:t>Notes</w:t>
      </w:r>
    </w:p>
    <w:p w14:paraId="4B7A3D55" w14:textId="4B115C83" w:rsidR="004A72F9" w:rsidRDefault="004A72F9">
      <w:pPr>
        <w:spacing w:before="200" w:line="312" w:lineRule="auto"/>
        <w:rPr>
          <w:rFonts w:ascii="Google Sans" w:eastAsia="Google Sans" w:hAnsi="Google Sans" w:cs="Google Sans"/>
          <w:color w:val="353744"/>
        </w:rPr>
      </w:pPr>
      <w:r>
        <w:rPr>
          <w:rFonts w:ascii="Google Sans" w:eastAsia="Google Sans" w:hAnsi="Google Sans" w:cs="Google Sans"/>
          <w:color w:val="353744"/>
        </w:rPr>
        <w:t xml:space="preserve">Open to public </w:t>
      </w:r>
    </w:p>
    <w:p w14:paraId="2ECD2C38" w14:textId="0323194E" w:rsidR="004A72F9" w:rsidRDefault="004A72F9">
      <w:pPr>
        <w:spacing w:before="200" w:line="312" w:lineRule="auto"/>
        <w:rPr>
          <w:rFonts w:ascii="Google Sans" w:eastAsia="Google Sans" w:hAnsi="Google Sans" w:cs="Google Sans"/>
          <w:color w:val="353744"/>
        </w:rPr>
      </w:pPr>
      <w:r>
        <w:rPr>
          <w:rFonts w:ascii="Google Sans" w:eastAsia="Google Sans" w:hAnsi="Google Sans" w:cs="Google Sans"/>
          <w:color w:val="353744"/>
        </w:rPr>
        <w:t>Remote access for employees</w:t>
      </w:r>
    </w:p>
    <w:p w14:paraId="544704E5" w14:textId="77777777" w:rsidR="008B089A"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4" w:name="_e64wndl8jmz1" w:colFirst="0" w:colLast="0"/>
      <w:bookmarkEnd w:id="4"/>
      <w:r>
        <w:rPr>
          <w:rFonts w:ascii="Proxima Nova" w:eastAsia="Proxima Nova" w:hAnsi="Proxima Nova" w:cs="Proxima Nova"/>
          <w:b/>
          <w:color w:val="353744"/>
          <w:sz w:val="28"/>
          <w:szCs w:val="28"/>
        </w:rPr>
        <w:t>Scope</w:t>
      </w:r>
    </w:p>
    <w:p w14:paraId="439395E4" w14:textId="200553E6" w:rsidR="008B089A"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The scope of this vulnerability assessment relates to the current access controls of the system. The assessment will cover a period of three months, from June 20</w:t>
      </w:r>
      <w:r w:rsidR="000628BE">
        <w:rPr>
          <w:rFonts w:ascii="Google Sans" w:eastAsia="Google Sans" w:hAnsi="Google Sans" w:cs="Google Sans"/>
          <w:color w:val="353744"/>
        </w:rPr>
        <w:t>24</w:t>
      </w:r>
      <w:r>
        <w:rPr>
          <w:rFonts w:ascii="Google Sans" w:eastAsia="Google Sans" w:hAnsi="Google Sans" w:cs="Google Sans"/>
          <w:color w:val="353744"/>
        </w:rPr>
        <w:t xml:space="preserve"> to August 20</w:t>
      </w:r>
      <w:r w:rsidR="000628BE">
        <w:rPr>
          <w:rFonts w:ascii="Google Sans" w:eastAsia="Google Sans" w:hAnsi="Google Sans" w:cs="Google Sans"/>
          <w:color w:val="353744"/>
        </w:rPr>
        <w:t>24</w:t>
      </w:r>
      <w:r>
        <w:rPr>
          <w:rFonts w:ascii="Google Sans" w:eastAsia="Google Sans" w:hAnsi="Google Sans" w:cs="Google Sans"/>
          <w:color w:val="353744"/>
        </w:rPr>
        <w:t xml:space="preserve">. </w:t>
      </w:r>
      <w:hyperlink r:id="rId5" w:anchor="heading=h.hvbcmqwzo9do">
        <w:r>
          <w:rPr>
            <w:rFonts w:ascii="Google Sans" w:eastAsia="Google Sans" w:hAnsi="Google Sans" w:cs="Google Sans"/>
            <w:color w:val="1155CC"/>
            <w:u w:val="single"/>
          </w:rPr>
          <w:t>NIST SP 800-30 Rev. 1</w:t>
        </w:r>
      </w:hyperlink>
      <w:r>
        <w:rPr>
          <w:rFonts w:ascii="Google Sans" w:eastAsia="Google Sans" w:hAnsi="Google Sans" w:cs="Google Sans"/>
          <w:color w:val="353744"/>
        </w:rPr>
        <w:t xml:space="preserve"> is used to guide the risk analysis of the information system.</w:t>
      </w:r>
    </w:p>
    <w:p w14:paraId="0FEA175C" w14:textId="77777777" w:rsidR="008B089A"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5" w:name="_oymnw3nlvwib" w:colFirst="0" w:colLast="0"/>
      <w:bookmarkEnd w:id="5"/>
      <w:r>
        <w:rPr>
          <w:rFonts w:ascii="Proxima Nova" w:eastAsia="Proxima Nova" w:hAnsi="Proxima Nova" w:cs="Proxima Nova"/>
          <w:b/>
          <w:color w:val="353744"/>
          <w:sz w:val="28"/>
          <w:szCs w:val="28"/>
        </w:rPr>
        <w:t>Purpose</w:t>
      </w:r>
    </w:p>
    <w:p w14:paraId="42E8BD8C" w14:textId="77777777" w:rsidR="00DB53B5" w:rsidRDefault="00DB53B5" w:rsidP="00190E80">
      <w:pPr>
        <w:rPr>
          <w:rFonts w:ascii="Google Sans" w:eastAsia="Google Sans" w:hAnsi="Google Sans" w:cs="Google Sans"/>
          <w:color w:val="353744"/>
        </w:rPr>
      </w:pPr>
    </w:p>
    <w:p w14:paraId="37039746" w14:textId="020CDF8C" w:rsidR="00190E80" w:rsidRDefault="00E33061" w:rsidP="00190E80">
      <w:pPr>
        <w:rPr>
          <w:rFonts w:ascii="Google Sans" w:eastAsia="Google Sans" w:hAnsi="Google Sans" w:cs="Google Sans"/>
          <w:i/>
          <w:color w:val="353744"/>
        </w:rPr>
      </w:pPr>
      <w:r>
        <w:rPr>
          <w:rFonts w:ascii="Google Sans" w:eastAsia="Google Sans" w:hAnsi="Google Sans" w:cs="Google Sans"/>
          <w:i/>
          <w:color w:val="353744"/>
        </w:rPr>
        <w:t xml:space="preserve">This database stores and manages large amount of data important to the </w:t>
      </w:r>
      <w:r w:rsidR="00190E80">
        <w:rPr>
          <w:rFonts w:ascii="Google Sans" w:eastAsia="Google Sans" w:hAnsi="Google Sans" w:cs="Google Sans"/>
          <w:i/>
          <w:color w:val="353744"/>
        </w:rPr>
        <w:t>companies’</w:t>
      </w:r>
      <w:r>
        <w:rPr>
          <w:rFonts w:ascii="Google Sans" w:eastAsia="Google Sans" w:hAnsi="Google Sans" w:cs="Google Sans"/>
          <w:i/>
          <w:color w:val="353744"/>
        </w:rPr>
        <w:t xml:space="preserve"> everyday operations. </w:t>
      </w:r>
      <w:r w:rsidR="00302C7E">
        <w:rPr>
          <w:rFonts w:ascii="Google Sans" w:eastAsia="Google Sans" w:hAnsi="Google Sans" w:cs="Google Sans"/>
          <w:i/>
          <w:color w:val="353744"/>
        </w:rPr>
        <w:t>It holds customer PII</w:t>
      </w:r>
      <w:r>
        <w:rPr>
          <w:rFonts w:ascii="Google Sans" w:eastAsia="Google Sans" w:hAnsi="Google Sans" w:cs="Google Sans"/>
          <w:i/>
          <w:color w:val="353744"/>
        </w:rPr>
        <w:t xml:space="preserve"> </w:t>
      </w:r>
      <w:r w:rsidR="00190E80">
        <w:rPr>
          <w:rFonts w:ascii="Google Sans" w:eastAsia="Google Sans" w:hAnsi="Google Sans" w:cs="Google Sans"/>
          <w:i/>
          <w:color w:val="353744"/>
        </w:rPr>
        <w:t>among</w:t>
      </w:r>
      <w:r>
        <w:rPr>
          <w:rFonts w:ascii="Google Sans" w:eastAsia="Google Sans" w:hAnsi="Google Sans" w:cs="Google Sans"/>
          <w:i/>
          <w:color w:val="353744"/>
        </w:rPr>
        <w:t xml:space="preserve"> other data on customer to help coordinate </w:t>
      </w:r>
      <w:r w:rsidR="00190E80">
        <w:rPr>
          <w:rFonts w:ascii="Google Sans" w:eastAsia="Google Sans" w:hAnsi="Google Sans" w:cs="Google Sans"/>
          <w:i/>
          <w:color w:val="353744"/>
        </w:rPr>
        <w:t>tailored</w:t>
      </w:r>
      <w:r>
        <w:rPr>
          <w:rFonts w:ascii="Google Sans" w:eastAsia="Google Sans" w:hAnsi="Google Sans" w:cs="Google Sans"/>
          <w:i/>
          <w:color w:val="353744"/>
        </w:rPr>
        <w:t xml:space="preserve"> experiences </w:t>
      </w:r>
      <w:r w:rsidR="00190E80">
        <w:rPr>
          <w:rFonts w:ascii="Google Sans" w:eastAsia="Google Sans" w:hAnsi="Google Sans" w:cs="Google Sans"/>
          <w:i/>
          <w:color w:val="353744"/>
        </w:rPr>
        <w:t xml:space="preserve">and provide insightful analytics towards business improvement. </w:t>
      </w:r>
      <w:r w:rsidR="00302C7E">
        <w:rPr>
          <w:rFonts w:ascii="Google Sans" w:eastAsia="Google Sans" w:hAnsi="Google Sans" w:cs="Google Sans"/>
          <w:i/>
          <w:color w:val="353744"/>
        </w:rPr>
        <w:t xml:space="preserve"> </w:t>
      </w:r>
      <w:r w:rsidR="00190E80">
        <w:rPr>
          <w:rFonts w:ascii="Google Sans" w:eastAsia="Google Sans" w:hAnsi="Google Sans" w:cs="Google Sans"/>
          <w:i/>
          <w:color w:val="353744"/>
        </w:rPr>
        <w:t>This should be</w:t>
      </w:r>
      <w:r w:rsidR="00302C7E">
        <w:rPr>
          <w:rFonts w:ascii="Google Sans" w:eastAsia="Google Sans" w:hAnsi="Google Sans" w:cs="Google Sans"/>
          <w:i/>
          <w:color w:val="353744"/>
        </w:rPr>
        <w:t xml:space="preserve"> protected to</w:t>
      </w:r>
      <w:r w:rsidR="00190E80">
        <w:rPr>
          <w:rFonts w:ascii="Google Sans" w:eastAsia="Google Sans" w:hAnsi="Google Sans" w:cs="Google Sans"/>
          <w:i/>
          <w:color w:val="353744"/>
        </w:rPr>
        <w:t xml:space="preserve"> remove the risk of disruption to daily operations, keep</w:t>
      </w:r>
      <w:r w:rsidR="00302C7E">
        <w:rPr>
          <w:rFonts w:ascii="Google Sans" w:eastAsia="Google Sans" w:hAnsi="Google Sans" w:cs="Google Sans"/>
          <w:i/>
          <w:color w:val="353744"/>
        </w:rPr>
        <w:t xml:space="preserve"> customer data confidential, ensure that data’s integrity and availability and comply with government regulations.</w:t>
      </w:r>
      <w:bookmarkStart w:id="6" w:name="_i2ip4lwifo50" w:colFirst="0" w:colLast="0"/>
      <w:bookmarkEnd w:id="6"/>
    </w:p>
    <w:p w14:paraId="5D73CA94" w14:textId="77777777" w:rsidR="00DB53B5" w:rsidRDefault="00DB53B5" w:rsidP="00190E80">
      <w:pPr>
        <w:rPr>
          <w:rFonts w:ascii="Google Sans" w:eastAsia="Google Sans" w:hAnsi="Google Sans" w:cs="Google Sans"/>
          <w:i/>
          <w:color w:val="353744"/>
        </w:rPr>
      </w:pPr>
    </w:p>
    <w:p w14:paraId="0DB87D30" w14:textId="2F3C4A85" w:rsidR="008B089A" w:rsidRPr="00190E80" w:rsidRDefault="00000000" w:rsidP="00190E80">
      <w:pPr>
        <w:rPr>
          <w:rFonts w:ascii="Google Sans" w:eastAsia="Google Sans" w:hAnsi="Google Sans" w:cs="Google Sans"/>
          <w:i/>
          <w:color w:val="353744"/>
        </w:rPr>
      </w:pPr>
      <w:r>
        <w:rPr>
          <w:rFonts w:ascii="Proxima Nova" w:eastAsia="Proxima Nova" w:hAnsi="Proxima Nova" w:cs="Proxima Nova"/>
          <w:b/>
          <w:color w:val="353744"/>
          <w:sz w:val="28"/>
          <w:szCs w:val="28"/>
        </w:rPr>
        <w:lastRenderedPageBreak/>
        <w:t>Risk Assessment</w:t>
      </w:r>
    </w:p>
    <w:p w14:paraId="79A74884" w14:textId="77777777" w:rsidR="008B089A" w:rsidRDefault="008B089A">
      <w:pPr>
        <w:spacing w:line="312" w:lineRule="auto"/>
        <w:rPr>
          <w:rFonts w:ascii="Google Sans" w:eastAsia="Google Sans" w:hAnsi="Google Sans" w:cs="Google Sans"/>
          <w:color w:val="353744"/>
        </w:rP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8B089A" w14:paraId="5E7567B6" w14:textId="77777777">
        <w:tc>
          <w:tcPr>
            <w:tcW w:w="1860" w:type="dxa"/>
            <w:shd w:val="clear" w:color="auto" w:fill="C9DAF8"/>
            <w:tcMar>
              <w:top w:w="100" w:type="dxa"/>
              <w:left w:w="100" w:type="dxa"/>
              <w:bottom w:w="100" w:type="dxa"/>
              <w:right w:w="100" w:type="dxa"/>
            </w:tcMar>
          </w:tcPr>
          <w:p w14:paraId="2195E4FE" w14:textId="77777777" w:rsidR="008B089A"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source</w:t>
            </w:r>
          </w:p>
        </w:tc>
        <w:tc>
          <w:tcPr>
            <w:tcW w:w="3615" w:type="dxa"/>
            <w:shd w:val="clear" w:color="auto" w:fill="C9DAF8"/>
            <w:tcMar>
              <w:top w:w="100" w:type="dxa"/>
              <w:left w:w="100" w:type="dxa"/>
              <w:bottom w:w="100" w:type="dxa"/>
              <w:right w:w="100" w:type="dxa"/>
            </w:tcMar>
          </w:tcPr>
          <w:p w14:paraId="0E7EB3A0" w14:textId="77777777" w:rsidR="008B089A"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event</w:t>
            </w:r>
          </w:p>
        </w:tc>
        <w:tc>
          <w:tcPr>
            <w:tcW w:w="1395" w:type="dxa"/>
            <w:shd w:val="clear" w:color="auto" w:fill="C9DAF8"/>
            <w:tcMar>
              <w:top w:w="100" w:type="dxa"/>
              <w:left w:w="100" w:type="dxa"/>
              <w:bottom w:w="100" w:type="dxa"/>
              <w:right w:w="100" w:type="dxa"/>
            </w:tcMar>
          </w:tcPr>
          <w:p w14:paraId="2DBDC250" w14:textId="77777777" w:rsidR="008B089A"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Likelihood</w:t>
            </w:r>
          </w:p>
        </w:tc>
        <w:tc>
          <w:tcPr>
            <w:tcW w:w="1320" w:type="dxa"/>
            <w:shd w:val="clear" w:color="auto" w:fill="C9DAF8"/>
            <w:tcMar>
              <w:top w:w="100" w:type="dxa"/>
              <w:left w:w="100" w:type="dxa"/>
              <w:bottom w:w="100" w:type="dxa"/>
              <w:right w:w="100" w:type="dxa"/>
            </w:tcMar>
          </w:tcPr>
          <w:p w14:paraId="63D451F3" w14:textId="77777777" w:rsidR="008B089A"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Severity</w:t>
            </w:r>
          </w:p>
        </w:tc>
        <w:tc>
          <w:tcPr>
            <w:tcW w:w="1110" w:type="dxa"/>
            <w:shd w:val="clear" w:color="auto" w:fill="C9DAF8"/>
            <w:tcMar>
              <w:top w:w="100" w:type="dxa"/>
              <w:left w:w="100" w:type="dxa"/>
              <w:bottom w:w="100" w:type="dxa"/>
              <w:right w:w="100" w:type="dxa"/>
            </w:tcMar>
          </w:tcPr>
          <w:p w14:paraId="6358BDC7" w14:textId="77777777" w:rsidR="008B089A"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Risk</w:t>
            </w:r>
          </w:p>
        </w:tc>
      </w:tr>
      <w:tr w:rsidR="008B089A" w14:paraId="49381EDF" w14:textId="77777777">
        <w:tc>
          <w:tcPr>
            <w:tcW w:w="1860" w:type="dxa"/>
            <w:shd w:val="clear" w:color="auto" w:fill="auto"/>
            <w:tcMar>
              <w:top w:w="100" w:type="dxa"/>
              <w:left w:w="100" w:type="dxa"/>
              <w:bottom w:w="100" w:type="dxa"/>
              <w:right w:w="100" w:type="dxa"/>
            </w:tcMar>
          </w:tcPr>
          <w:p w14:paraId="5918AAF3" w14:textId="2575ED0A" w:rsidR="008B089A"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Competitor</w:t>
            </w:r>
          </w:p>
        </w:tc>
        <w:tc>
          <w:tcPr>
            <w:tcW w:w="3615" w:type="dxa"/>
            <w:shd w:val="clear" w:color="auto" w:fill="auto"/>
            <w:tcMar>
              <w:top w:w="100" w:type="dxa"/>
              <w:left w:w="100" w:type="dxa"/>
              <w:bottom w:w="100" w:type="dxa"/>
              <w:right w:w="100" w:type="dxa"/>
            </w:tcMar>
          </w:tcPr>
          <w:p w14:paraId="22631375" w14:textId="77777777" w:rsidR="008B089A"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Obtain sensitive information via exfiltration</w:t>
            </w:r>
          </w:p>
        </w:tc>
        <w:tc>
          <w:tcPr>
            <w:tcW w:w="1395" w:type="dxa"/>
            <w:shd w:val="clear" w:color="auto" w:fill="auto"/>
            <w:tcMar>
              <w:top w:w="100" w:type="dxa"/>
              <w:left w:w="100" w:type="dxa"/>
              <w:bottom w:w="100" w:type="dxa"/>
              <w:right w:w="100" w:type="dxa"/>
            </w:tcMar>
          </w:tcPr>
          <w:p w14:paraId="4DEE278D" w14:textId="77777777" w:rsidR="008B089A"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14:paraId="447020F7" w14:textId="77777777" w:rsidR="008B089A"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1CAD8E48" w14:textId="77777777" w:rsidR="008B089A"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tc>
      </w:tr>
      <w:tr w:rsidR="008B089A" w14:paraId="4B932A3C" w14:textId="77777777">
        <w:tc>
          <w:tcPr>
            <w:tcW w:w="1860" w:type="dxa"/>
            <w:shd w:val="clear" w:color="auto" w:fill="auto"/>
            <w:tcMar>
              <w:top w:w="100" w:type="dxa"/>
              <w:left w:w="100" w:type="dxa"/>
              <w:bottom w:w="100" w:type="dxa"/>
              <w:right w:w="100" w:type="dxa"/>
            </w:tcMar>
          </w:tcPr>
          <w:p w14:paraId="09052C21" w14:textId="6FD38DE1" w:rsidR="008B089A" w:rsidRDefault="00FD590E">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Malicious Actor</w:t>
            </w:r>
          </w:p>
        </w:tc>
        <w:tc>
          <w:tcPr>
            <w:tcW w:w="3615" w:type="dxa"/>
            <w:shd w:val="clear" w:color="auto" w:fill="auto"/>
            <w:tcMar>
              <w:top w:w="100" w:type="dxa"/>
              <w:left w:w="100" w:type="dxa"/>
              <w:bottom w:w="100" w:type="dxa"/>
              <w:right w:w="100" w:type="dxa"/>
            </w:tcMar>
          </w:tcPr>
          <w:p w14:paraId="267A9CAC" w14:textId="11B17B1F" w:rsidR="008B089A" w:rsidRDefault="00FD590E">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Ransom</w:t>
            </w:r>
            <w:r w:rsidR="00E33061">
              <w:rPr>
                <w:rFonts w:ascii="Google Sans" w:eastAsia="Google Sans" w:hAnsi="Google Sans" w:cs="Google Sans"/>
                <w:i/>
                <w:color w:val="353744"/>
              </w:rPr>
              <w:t>ware attack for financial gain</w:t>
            </w:r>
          </w:p>
        </w:tc>
        <w:tc>
          <w:tcPr>
            <w:tcW w:w="1395" w:type="dxa"/>
            <w:shd w:val="clear" w:color="auto" w:fill="auto"/>
            <w:tcMar>
              <w:top w:w="100" w:type="dxa"/>
              <w:left w:w="100" w:type="dxa"/>
              <w:bottom w:w="100" w:type="dxa"/>
              <w:right w:w="100" w:type="dxa"/>
            </w:tcMar>
          </w:tcPr>
          <w:p w14:paraId="48D92C2E" w14:textId="6FFB3FEC" w:rsidR="008B089A" w:rsidRDefault="00E33061">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320" w:type="dxa"/>
            <w:shd w:val="clear" w:color="auto" w:fill="auto"/>
            <w:tcMar>
              <w:top w:w="100" w:type="dxa"/>
              <w:left w:w="100" w:type="dxa"/>
              <w:bottom w:w="100" w:type="dxa"/>
              <w:right w:w="100" w:type="dxa"/>
            </w:tcMar>
          </w:tcPr>
          <w:p w14:paraId="4E80B54E" w14:textId="5E13FC23" w:rsidR="008B089A" w:rsidRDefault="00E33061">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3AB84DF3" w14:textId="4731DD05" w:rsidR="008B089A" w:rsidRDefault="00E33061">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6</w:t>
            </w:r>
          </w:p>
        </w:tc>
      </w:tr>
      <w:tr w:rsidR="008B089A" w14:paraId="3277B18D" w14:textId="77777777">
        <w:tc>
          <w:tcPr>
            <w:tcW w:w="1860" w:type="dxa"/>
            <w:shd w:val="clear" w:color="auto" w:fill="auto"/>
            <w:tcMar>
              <w:top w:w="100" w:type="dxa"/>
              <w:left w:w="100" w:type="dxa"/>
              <w:bottom w:w="100" w:type="dxa"/>
              <w:right w:w="100" w:type="dxa"/>
            </w:tcMar>
          </w:tcPr>
          <w:p w14:paraId="67C81A29" w14:textId="712889FE" w:rsidR="008B089A" w:rsidRDefault="00E33061">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 xml:space="preserve">Customer </w:t>
            </w:r>
          </w:p>
        </w:tc>
        <w:tc>
          <w:tcPr>
            <w:tcW w:w="3615" w:type="dxa"/>
            <w:shd w:val="clear" w:color="auto" w:fill="auto"/>
            <w:tcMar>
              <w:top w:w="100" w:type="dxa"/>
              <w:left w:w="100" w:type="dxa"/>
              <w:bottom w:w="100" w:type="dxa"/>
              <w:right w:w="100" w:type="dxa"/>
            </w:tcMar>
          </w:tcPr>
          <w:p w14:paraId="02A072FC" w14:textId="3E2F6BB4" w:rsidR="008B089A" w:rsidRDefault="00E33061">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 xml:space="preserve">Customer may accidently make alternations/deletions </w:t>
            </w:r>
          </w:p>
        </w:tc>
        <w:tc>
          <w:tcPr>
            <w:tcW w:w="1395" w:type="dxa"/>
            <w:shd w:val="clear" w:color="auto" w:fill="auto"/>
            <w:tcMar>
              <w:top w:w="100" w:type="dxa"/>
              <w:left w:w="100" w:type="dxa"/>
              <w:bottom w:w="100" w:type="dxa"/>
              <w:right w:w="100" w:type="dxa"/>
            </w:tcMar>
          </w:tcPr>
          <w:p w14:paraId="6067EA16" w14:textId="55863AC0" w:rsidR="008B089A" w:rsidRDefault="00E33061">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1</w:t>
            </w:r>
          </w:p>
        </w:tc>
        <w:tc>
          <w:tcPr>
            <w:tcW w:w="1320" w:type="dxa"/>
            <w:shd w:val="clear" w:color="auto" w:fill="auto"/>
            <w:tcMar>
              <w:top w:w="100" w:type="dxa"/>
              <w:left w:w="100" w:type="dxa"/>
              <w:bottom w:w="100" w:type="dxa"/>
              <w:right w:w="100" w:type="dxa"/>
            </w:tcMar>
          </w:tcPr>
          <w:p w14:paraId="0D8C4535" w14:textId="2F7E7816" w:rsidR="008B089A" w:rsidRDefault="00E33061">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5947CC5B" w14:textId="01F73966" w:rsidR="008B089A" w:rsidRDefault="00E33061">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r>
    </w:tbl>
    <w:p w14:paraId="34E336AE" w14:textId="77777777" w:rsidR="008B089A"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7" w:name="_a9ivkvfuz16w" w:colFirst="0" w:colLast="0"/>
      <w:bookmarkEnd w:id="7"/>
      <w:r>
        <w:rPr>
          <w:rFonts w:ascii="Proxima Nova" w:eastAsia="Proxima Nova" w:hAnsi="Proxima Nova" w:cs="Proxima Nova"/>
          <w:b/>
          <w:color w:val="353744"/>
          <w:sz w:val="28"/>
          <w:szCs w:val="28"/>
        </w:rPr>
        <w:t>Approach</w:t>
      </w:r>
    </w:p>
    <w:p w14:paraId="649EBA14" w14:textId="3C43AD5C" w:rsidR="00E33061" w:rsidRDefault="00E33061" w:rsidP="00E33061">
      <w:pPr>
        <w:spacing w:before="200" w:line="312" w:lineRule="auto"/>
        <w:rPr>
          <w:rFonts w:ascii="Google Sans" w:eastAsia="Google Sans" w:hAnsi="Google Sans" w:cs="Google Sans"/>
          <w:color w:val="353744"/>
        </w:rPr>
      </w:pPr>
      <w:r>
        <w:rPr>
          <w:rFonts w:ascii="Google Sans" w:eastAsia="Google Sans" w:hAnsi="Google Sans" w:cs="Google Sans"/>
          <w:color w:val="353744"/>
        </w:rPr>
        <w:t xml:space="preserve">The risk measured in this assessment reviewed the storage and management procedures and practices for this organization. A combination of the likelihood of a security incident and severity resulting from that accident were considered to determine the risk level and potential threat in relation to the impact on daily operations. </w:t>
      </w:r>
      <w:bookmarkStart w:id="8" w:name="_vf6vykh0xvv7" w:colFirst="0" w:colLast="0"/>
      <w:bookmarkEnd w:id="8"/>
    </w:p>
    <w:p w14:paraId="2613EDFA" w14:textId="308B21DC" w:rsidR="008B089A" w:rsidRPr="00E33061" w:rsidRDefault="00000000" w:rsidP="00E33061">
      <w:pPr>
        <w:spacing w:before="200" w:line="312" w:lineRule="auto"/>
        <w:rPr>
          <w:rFonts w:ascii="Google Sans" w:eastAsia="Google Sans" w:hAnsi="Google Sans" w:cs="Google Sans"/>
          <w:color w:val="353744"/>
        </w:rPr>
      </w:pPr>
      <w:r>
        <w:rPr>
          <w:rFonts w:ascii="Proxima Nova" w:eastAsia="Proxima Nova" w:hAnsi="Proxima Nova" w:cs="Proxima Nova"/>
          <w:b/>
          <w:color w:val="353744"/>
          <w:sz w:val="28"/>
          <w:szCs w:val="28"/>
        </w:rPr>
        <w:t>Remediation Strategy</w:t>
      </w:r>
    </w:p>
    <w:p w14:paraId="21E220BD" w14:textId="41AA7C92" w:rsidR="00DB53B5" w:rsidRPr="00DB53B5" w:rsidRDefault="00DB53B5">
      <w:pPr>
        <w:rPr>
          <w:rFonts w:ascii="Google Sans" w:eastAsia="Google Sans" w:hAnsi="Google Sans" w:cs="Google Sans"/>
          <w:color w:val="353744"/>
        </w:rPr>
      </w:pPr>
      <w:r>
        <w:rPr>
          <w:rFonts w:ascii="Google Sans" w:eastAsia="Google Sans" w:hAnsi="Google Sans" w:cs="Google Sans"/>
          <w:color w:val="353744"/>
        </w:rPr>
        <w:t xml:space="preserve">To reduce the risk of these threats I would recommend the implementation of authentication, authorization and auditing protocols. With special emphasis of strong and secure password policies, reinforced with the use of multifactor authentication. User access controls should be reviewed, and the policy of least privilege implemented. Data encryption should be exclusively carried out with TLS protocols not SSL and lastly IP addresses should </w:t>
      </w:r>
      <w:proofErr w:type="gramStart"/>
      <w:r>
        <w:rPr>
          <w:rFonts w:ascii="Google Sans" w:eastAsia="Google Sans" w:hAnsi="Google Sans" w:cs="Google Sans"/>
          <w:color w:val="353744"/>
        </w:rPr>
        <w:t>add</w:t>
      </w:r>
      <w:proofErr w:type="gramEnd"/>
      <w:r>
        <w:rPr>
          <w:rFonts w:ascii="Google Sans" w:eastAsia="Google Sans" w:hAnsi="Google Sans" w:cs="Google Sans"/>
          <w:color w:val="353744"/>
        </w:rPr>
        <w:t xml:space="preserve"> to allow-listing’ to ensure that only authorized business </w:t>
      </w:r>
      <w:proofErr w:type="gramStart"/>
      <w:r>
        <w:rPr>
          <w:rFonts w:ascii="Google Sans" w:eastAsia="Google Sans" w:hAnsi="Google Sans" w:cs="Google Sans"/>
          <w:color w:val="353744"/>
        </w:rPr>
        <w:t>IP’s</w:t>
      </w:r>
      <w:proofErr w:type="gramEnd"/>
      <w:r>
        <w:rPr>
          <w:rFonts w:ascii="Google Sans" w:eastAsia="Google Sans" w:hAnsi="Google Sans" w:cs="Google Sans"/>
          <w:color w:val="353744"/>
        </w:rPr>
        <w:t xml:space="preserve"> are accessing the data on the server. </w:t>
      </w:r>
    </w:p>
    <w:sectPr w:rsidR="00DB53B5" w:rsidRPr="00DB53B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embedRegular r:id="rId1" w:fontKey="{31D81C82-0D30-4434-BBCC-41F568E1D639}"/>
    <w:embedBold r:id="rId2" w:fontKey="{FD6ED019-7549-4A31-B081-2C1EB7710FE8}"/>
  </w:font>
  <w:font w:name="Google Sans">
    <w:charset w:val="00"/>
    <w:family w:val="auto"/>
    <w:pitch w:val="default"/>
    <w:embedRegular r:id="rId3" w:fontKey="{92A55F85-86EC-47A8-9BB0-88978DD3341A}"/>
    <w:embedBold r:id="rId4" w:fontKey="{383F527E-AB6A-4D41-81E4-7955671B5F15}"/>
    <w:embedItalic r:id="rId5" w:fontKey="{286364D1-3794-4820-A472-950DA245BDFA}"/>
  </w:font>
  <w:font w:name="Calibri">
    <w:panose1 w:val="020F0502020204030204"/>
    <w:charset w:val="00"/>
    <w:family w:val="swiss"/>
    <w:pitch w:val="variable"/>
    <w:sig w:usb0="E4002EFF" w:usb1="C200247B" w:usb2="00000009" w:usb3="00000000" w:csb0="000001FF" w:csb1="00000000"/>
    <w:embedRegular r:id="rId6" w:fontKey="{57082305-92BC-425A-8864-956BD57B82E6}"/>
  </w:font>
  <w:font w:name="Cambria">
    <w:panose1 w:val="02040503050406030204"/>
    <w:charset w:val="00"/>
    <w:family w:val="roman"/>
    <w:pitch w:val="variable"/>
    <w:sig w:usb0="E00006FF" w:usb1="420024FF" w:usb2="02000000" w:usb3="00000000" w:csb0="0000019F" w:csb1="00000000"/>
    <w:embedRegular r:id="rId7" w:fontKey="{74AF7714-9222-44D2-B6F3-6696B914A55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923F3F"/>
    <w:multiLevelType w:val="multilevel"/>
    <w:tmpl w:val="40C09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497838"/>
    <w:multiLevelType w:val="multilevel"/>
    <w:tmpl w:val="A9686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D30BE8"/>
    <w:multiLevelType w:val="multilevel"/>
    <w:tmpl w:val="D0503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43437163">
    <w:abstractNumId w:val="0"/>
  </w:num>
  <w:num w:numId="2" w16cid:durableId="1644233570">
    <w:abstractNumId w:val="2"/>
  </w:num>
  <w:num w:numId="3" w16cid:durableId="12497340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89A"/>
    <w:rsid w:val="000628BE"/>
    <w:rsid w:val="00171842"/>
    <w:rsid w:val="00190E80"/>
    <w:rsid w:val="001C7CA1"/>
    <w:rsid w:val="00302C7E"/>
    <w:rsid w:val="004A72F9"/>
    <w:rsid w:val="006C60CF"/>
    <w:rsid w:val="008B089A"/>
    <w:rsid w:val="00DB53B5"/>
    <w:rsid w:val="00E33061"/>
    <w:rsid w:val="00FD59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C90E1"/>
  <w15:docId w15:val="{EBCDC47E-73C8-447F-833A-B969511C5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ocs.google.com/document/d/1Fc4L2azQlnUM-8r43PU9mYlT30BnxTwdjAMqpT7JeZk/edit?resourcekey=0-Q-XglnC3Li7JPK2hIvMkV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2</Pages>
  <Words>382</Words>
  <Characters>2178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Becca Herne</dc:creator>
  <cp:lastModifiedBy>Becca Herne</cp:lastModifiedBy>
  <cp:revision>10</cp:revision>
  <dcterms:created xsi:type="dcterms:W3CDTF">2024-10-18T10:58:00Z</dcterms:created>
  <dcterms:modified xsi:type="dcterms:W3CDTF">2024-10-18T11:27:00Z</dcterms:modified>
</cp:coreProperties>
</file>