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EP1</w:t>
      </w:r>
      <w:r>
        <w:tab/>
        <w:tab/>
        <w:tab/>
        <w:tab/>
        <w:tab/>
        <w:tab/>
        <w:tab/>
      </w:r>
      <w:r>
        <w:rPr>
          <w:rFonts w:ascii="Arial" w:hAnsi="Arial"/>
          <w:b/>
          <w:sz w:val="32"/>
        </w:rPr>
        <w:t>2025-07-08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Independent Claims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claim 1 discloses an apparatus</w:t>
              <w:br/>
              <w:t>claim 15 discloses a method</w:t>
              <w:br/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Ptbs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Prob 1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Solution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solution 1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Technical Effect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techn. effect 1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Keywords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Classes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Remarks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Unity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Prior Art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8306"/>
            <w:gridSpan w:val="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38725" cy="27146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ppl_image_EP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714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St^2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