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2744"/>
          <w:sz w:val="56"/>
          <w:szCs w:val="56"/>
        </w:rPr>
        <w:t xml:space="preserve">MANAGEMENT CONSULTING</w:t>
      </w:r>
    </w:p>
    <w:p>
      <w:pPr>
        <w:spacing w:after="160"/>
        <w:jc w:val="center"/>
      </w:pPr>
      <w:r>
        <w:rPr>
          <w:rFonts w:ascii="Arial" w:cs="Arial" w:eastAsia="Arial" w:hAnsi="Arial"/>
          <w:color w:val="006B3C"/>
          <w:sz w:val="44"/>
          <w:szCs w:val="44"/>
        </w:rPr>
        <w:t xml:space="preserve">College Planning Guide</w:t>
      </w:r>
    </w:p>
    <w:p>
      <w:pPr>
        <w:spacing w:after="80"/>
        <w:jc w:val="center"/>
      </w:pPr>
      <w:r>
        <w:rPr>
          <w:rFonts w:ascii="Arial" w:cs="Arial" w:eastAsia="Arial" w:hAnsi="Arial"/>
          <w:color w:val="555555"/>
          <w:sz w:val="22"/>
          <w:szCs w:val="22"/>
        </w:rPr>
        <w:t xml:space="preserve">Built from 10 Real LinkedIn Profiles (6 McKinsey · 1 BCG · 3 Bain)</w:t>
      </w:r>
    </w:p>
    <w:p>
      <w:pPr>
        <w:spacing w:after="1200"/>
        <w:jc w:val="center"/>
      </w:pPr>
      <w:r>
        <w:rPr>
          <w:rFonts w:ascii="Arial" w:cs="Arial" w:eastAsia="Arial" w:hAnsi="Arial"/>
          <w:color w:val="999999"/>
          <w:sz w:val="20"/>
          <w:szCs w:val="20"/>
        </w:rPr>
        <w:t xml:space="preserve">Obolu Blueprint  ·  June 2026</w:t>
      </w:r>
    </w:p>
    <w:p>
      <w:r>
        <w:br w:type="page"/>
      </w:r>
    </w:p>
    <w:p>
      <w:pPr>
        <w:pStyle w:val="Heading1"/>
        <w:spacing w:after="180" w:before="360"/>
      </w:pPr>
      <w:r>
        <w:rPr>
          <w:rFonts w:ascii="Arial" w:cs="Arial" w:eastAsia="Arial" w:hAnsi="Arial"/>
          <w:b/>
          <w:bCs/>
          <w:color w:val="1A2744"/>
          <w:sz w:val="36"/>
          <w:szCs w:val="36"/>
        </w:rPr>
        <w:t xml:space="preserve">1. What We Actually Did</w:t>
      </w:r>
    </w:p>
    <w:p>
      <w:pPr>
        <w:spacing w:after="120"/>
      </w:pPr>
      <w:r>
        <w:rPr>
          <w:rFonts w:ascii="Arial" w:cs="Arial" w:eastAsia="Arial" w:hAnsi="Arial"/>
          <w:sz w:val="22"/>
          <w:szCs w:val="22"/>
        </w:rPr>
        <w:t xml:space="preserve">We read 10 LinkedIn profiles of current management consultants at McKinsey, BCG, and Bain in full — education history, internship timelines, clubs, awards, and career progression. We did not summarize search snippets; we navigated to and read every profile. We also draw on the school-name data from an additional 10 profiles that were partially locked (showing school but not full detail).</w:t>
      </w:r>
    </w:p>
    <w:p>
      <w:pPr>
        <w:spacing w:after="120"/>
      </w:pPr>
    </w:p>
    <w:p>
      <w:pPr>
        <w:spacing w:after="120"/>
      </w:pPr>
      <w:r>
        <w:rPr>
          <w:rFonts w:ascii="Arial" w:cs="Arial" w:eastAsia="Arial" w:hAnsi="Arial"/>
          <w:sz w:val="22"/>
          <w:szCs w:val="22"/>
        </w:rPr>
        <w:t xml:space="preserve">A note on access: LinkedIn's Premium wall blocked the full experience section of roughly half the profiles in this account's network. Where profiles were locked, we record only the school name. Where they were fully open (often due to the profile owner having public settings or being in the network), we record full details.</w:t>
      </w:r>
    </w:p>
    <w:p>
      <w:pPr>
        <w:spacing w:after="120"/>
      </w:pPr>
    </w:p>
    <w:p>
      <w:pPr>
        <w:pStyle w:val="Heading2"/>
        <w:pBdr>
          <w:bottom w:val="single" w:color="006B3C" w:sz="6" w:space="4"/>
        </w:pBdr>
        <w:spacing w:after="120" w:before="280"/>
      </w:pPr>
      <w:r>
        <w:rPr>
          <w:rFonts w:ascii="Arial" w:cs="Arial" w:eastAsia="Arial" w:hAnsi="Arial"/>
          <w:b/>
          <w:bCs/>
          <w:color w:val="1A2744"/>
          <w:sz w:val="26"/>
          <w:szCs w:val="26"/>
        </w:rPr>
        <w:t xml:space="preserve">The 10 Full Profiles We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2000"/>
        <w:gridCol w:w="2400"/>
        <w:gridCol w:w="2360"/>
      </w:tblGrid>
      <w:tr>
        <w:trPr>
          <w:tblHeader/>
        </w:trPr>
        <w:tc>
          <w:tcPr>
            <w:tcW w:type="dxa" w:w="170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Name</w:t>
            </w:r>
          </w:p>
        </w:tc>
        <w:tc>
          <w:tcPr>
            <w:tcW w:type="dxa" w:w="90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Firm</w:t>
            </w:r>
          </w:p>
        </w:tc>
        <w:tc>
          <w:tcPr>
            <w:tcW w:type="dxa" w:w="200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School</w:t>
            </w:r>
          </w:p>
        </w:tc>
        <w:tc>
          <w:tcPr>
            <w:tcW w:type="dxa" w:w="240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Career Path</w:t>
            </w:r>
          </w:p>
        </w:tc>
        <w:tc>
          <w:tcPr>
            <w:tcW w:type="dxa" w:w="236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Key Note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Shrey Majmudar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McKinsey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Duke University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FBI Counterintelligence → White House NSC Strategic Planning → McKinsey (2022, 2024–present)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Non-traditional path via national security; published mHealth research; pilot; Andy Grove Scholar</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Oluchukwu Memeh</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McKinsey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Howard University (HBCU)</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Cummins intern (multiple years) → McKinsey Consultant 2025</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HBCU background; engineering → consulting; long-term industry internship before McKinsey</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Alahji 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McKinsey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Stanford University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J.P. Morgan Tech Analyst intern → Kinaya Ventures (emerging markets VC) → McKinsey 2024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Gates Scholar; Harvard Business School SVMP participant; CS+MS&amp;E dual; tech → consulting pivot</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Emilio Abelmann</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McKinsey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Duke University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Kahana (startup partner, 3 yrs) → Aga Khan Foundation Fellow (Kyrgyzstan/Geneva) → Kenya consulting → McKinsey 2025</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Prep school; highly international; no traditional finance internship; nonprofit/social-sector path</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Henry 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McKinsey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University of Chicago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Amazon Strategy intern (summer 2021) → McKinsey Strategy Consultant intern (summer 2022) → McKinsey FT 2024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Classic undergrad track: elite school, top GPA, one pre-McKinsey internship, McKinsey intern → return offer</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Tyler Kelley, MBA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McKinsey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UVA Darden (MBA) + UVA School of Education (MEd)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Higher ed admin director (Indiana U, 2 yrs) → UVA Darden MBA → Deloitte Summer Associate → McKinsey ACI 2023</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Post-MBA hire; non-traditional background; Consortium Fellowship (diversity MBA program); higher-ed → consulting</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Kelly Shao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BCG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Boston University (Questrom School of Business + Kilachand Honors College)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PwC Management Consulting intern (Deals Transformation, summer 2023) → BCG Associate 2024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Non-elite school → BCG; BBA not liberal arts; consulting club presidency was the key differentiator; biopharma/MedTech focus</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Bella Vandenberg</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Bain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Cornell University (ILR School)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Humu intern (customer success/marketing, jr year) → Bain ACI intern (SF, summer 2023) → Bain ACI</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ILR (non-business, non-STEM) → Bain; research-heavy; Humu (Google spin-off) as entry internship</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Amala Neervannan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Indiana University (Kelley School of Business)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Paramount Pictures Finance Controllership intern (summer 2022) → Bain ACI intern (Chicago, summer 2023) → Bain ACI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Non-elite school → Bain; case competitions were the critical differentiator; finance internship before Bain</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Lydia Melka-White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Bain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George Washington University (School of Business)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Deloitte early diversity program intern (sophomore) → Bain ACI (Atlanta)</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Non-elite school → Bain; arts background; Deloitte sophomore diversity program → re-recruited to Bain; explicitly endorses Management Consulted for case prep</w:t>
            </w:r>
          </w:p>
        </w:tc>
      </w:tr>
    </w:tbl>
    <w:p>
      <w:pPr>
        <w:spacing w:after="120"/>
      </w:pPr>
    </w:p>
    <w:p>
      <w:pPr>
        <w:pStyle w:val="Heading2"/>
        <w:pBdr>
          <w:bottom w:val="single" w:color="006B3C" w:sz="6" w:space="4"/>
        </w:pBdr>
        <w:spacing w:after="120" w:before="280"/>
      </w:pPr>
      <w:r>
        <w:rPr>
          <w:rFonts w:ascii="Arial" w:cs="Arial" w:eastAsia="Arial" w:hAnsi="Arial"/>
          <w:b/>
          <w:bCs/>
          <w:color w:val="1A2744"/>
          <w:sz w:val="26"/>
          <w:szCs w:val="26"/>
        </w:rPr>
        <w:t xml:space="preserve">Schools Visible From Locked Profiles (additional data)</w:t>
      </w:r>
    </w:p>
    <w:p>
      <w:pPr>
        <w:spacing w:after="120"/>
      </w:pPr>
      <w:r>
        <w:rPr>
          <w:rFonts w:ascii="Arial" w:cs="Arial" w:eastAsia="Arial" w:hAnsi="Arial"/>
          <w:sz w:val="22"/>
          <w:szCs w:val="22"/>
        </w:rPr>
        <w:t xml:space="preserve">Even where full profiles were locked, we could see the school name. The additional schools observed across 10 more profiles:</w:t>
      </w:r>
    </w:p>
    <w:p>
      <w:pPr>
        <w:spacing w:after="120"/>
      </w:pPr>
    </w:p>
    <w:p>
      <w:pPr>
        <w:pStyle w:val="ListParagraph"/>
        <w:numPr>
          <w:ilvl w:val="0"/>
          <w:numId w:val="2"/>
        </w:numPr>
        <w:spacing w:after="80"/>
      </w:pPr>
      <w:r>
        <w:rPr>
          <w:rFonts w:ascii="Arial" w:cs="Arial" w:eastAsia="Arial" w:hAnsi="Arial"/>
          <w:sz w:val="22"/>
          <w:szCs w:val="22"/>
        </w:rPr>
        <w:t xml:space="preserve">BCG: Harvard, Wharton (×2), Columbia (×2), Brown, Yale</w:t>
      </w:r>
    </w:p>
    <w:p>
      <w:pPr>
        <w:pStyle w:val="ListParagraph"/>
        <w:numPr>
          <w:ilvl w:val="0"/>
          <w:numId w:val="2"/>
        </w:numPr>
        <w:spacing w:after="80"/>
      </w:pPr>
      <w:r>
        <w:rPr>
          <w:rFonts w:ascii="Arial" w:cs="Arial" w:eastAsia="Arial" w:hAnsi="Arial"/>
          <w:sz w:val="22"/>
          <w:szCs w:val="22"/>
        </w:rPr>
        <w:t xml:space="preserve">Bain: Cornell Dyson, Georgetown, Rice, Wharton</w:t>
      </w:r>
    </w:p>
    <w:p>
      <w:pPr>
        <w:spacing w:after="120"/>
      </w:pPr>
    </w:p>
    <w:p>
      <w:pPr>
        <w:spacing w:after="120"/>
      </w:pPr>
      <w:r>
        <w:rPr>
          <w:rFonts w:ascii="Arial" w:cs="Arial" w:eastAsia="Arial" w:hAnsi="Arial"/>
          <w:sz w:val="22"/>
          <w:szCs w:val="22"/>
        </w:rPr>
        <w:t xml:space="preserve">Combined with the 10 fully-read profiles, the school list spans: Duke (×2), Stanford, UChicago, Howard, Cornell ILR, Indiana Kelley, GWU, Boston University, UVA Darden (MBA), Harvard, Wharton (×3), Columbia (×2), Brown, Yale, Georgetown, Rice, Cornell Dyson.</w:t>
      </w:r>
    </w:p>
    <w:p>
      <w:pPr>
        <w:spacing w:after="120"/>
      </w:pPr>
    </w:p>
    <w:p>
      <w:r>
        <w:br w:type="page"/>
      </w:r>
    </w:p>
    <w:p>
      <w:pPr>
        <w:pStyle w:val="Heading1"/>
        <w:spacing w:after="180" w:before="360"/>
      </w:pPr>
      <w:r>
        <w:rPr>
          <w:rFonts w:ascii="Arial" w:cs="Arial" w:eastAsia="Arial" w:hAnsi="Arial"/>
          <w:b/>
          <w:bCs/>
          <w:color w:val="1A2744"/>
          <w:sz w:val="36"/>
          <w:szCs w:val="36"/>
        </w:rPr>
        <w:t xml:space="preserve">2. What We Actually Found — The Real Patterns</w:t>
      </w:r>
    </w:p>
    <w:p>
      <w:pPr>
        <w:pStyle w:val="Heading2"/>
        <w:pBdr>
          <w:bottom w:val="single" w:color="006B3C" w:sz="6" w:space="4"/>
        </w:pBdr>
        <w:spacing w:after="120" w:before="280"/>
      </w:pPr>
      <w:r>
        <w:rPr>
          <w:rFonts w:ascii="Arial" w:cs="Arial" w:eastAsia="Arial" w:hAnsi="Arial"/>
          <w:b/>
          <w:bCs/>
          <w:color w:val="1A2744"/>
          <w:sz w:val="26"/>
          <w:szCs w:val="26"/>
        </w:rPr>
        <w:t xml:space="preserve">2.1 School Prestige Matters More in Consulting Than in Tech — But Non-Elites Still Exist</w:t>
      </w:r>
    </w:p>
    <w:p>
      <w:pPr>
        <w:spacing w:after="120"/>
      </w:pPr>
      <w:r>
        <w:rPr>
          <w:rFonts w:ascii="Arial" w:cs="Arial" w:eastAsia="Arial" w:hAnsi="Arial"/>
          <w:sz w:val="22"/>
          <w:szCs w:val="22"/>
        </w:rPr>
        <w:t xml:space="preserve">The most consistent difference between this dataset and the SWE dataset: consulting skews significantly more toward elite schools. Wharton appears 3 times, Columbia twice, and Harvard, Yale, Brown, Georgetown, and Rice all appear in a sample of 20 profiles. That said, 4 of the 10 fully-read profiles attended non-elite undergraduate programs:</w:t>
      </w:r>
    </w:p>
    <w:p>
      <w:pPr>
        <w:spacing w:after="120"/>
      </w:pPr>
    </w:p>
    <w:p>
      <w:pPr>
        <w:pStyle w:val="ListParagraph"/>
        <w:numPr>
          <w:ilvl w:val="0"/>
          <w:numId w:val="2"/>
        </w:numPr>
        <w:spacing w:after="80"/>
      </w:pPr>
      <w:r>
        <w:rPr>
          <w:rFonts w:ascii="Arial" w:cs="Arial" w:eastAsia="Arial" w:hAnsi="Arial"/>
          <w:sz w:val="22"/>
          <w:szCs w:val="22"/>
        </w:rPr>
        <w:t xml:space="preserve">Indiana University Kelley School of Business (Amala Neervannan → Bain)</w:t>
      </w:r>
    </w:p>
    <w:p>
      <w:pPr>
        <w:pStyle w:val="ListParagraph"/>
        <w:numPr>
          <w:ilvl w:val="0"/>
          <w:numId w:val="2"/>
        </w:numPr>
        <w:spacing w:after="80"/>
      </w:pPr>
      <w:r>
        <w:rPr>
          <w:rFonts w:ascii="Arial" w:cs="Arial" w:eastAsia="Arial" w:hAnsi="Arial"/>
          <w:sz w:val="22"/>
          <w:szCs w:val="22"/>
        </w:rPr>
        <w:t xml:space="preserve">George Washington University School of Business (Lydia Melka-White → Bain)</w:t>
      </w:r>
    </w:p>
    <w:p>
      <w:pPr>
        <w:pStyle w:val="ListParagraph"/>
        <w:numPr>
          <w:ilvl w:val="0"/>
          <w:numId w:val="2"/>
        </w:numPr>
        <w:spacing w:after="80"/>
      </w:pPr>
      <w:r>
        <w:rPr>
          <w:rFonts w:ascii="Arial" w:cs="Arial" w:eastAsia="Arial" w:hAnsi="Arial"/>
          <w:sz w:val="22"/>
          <w:szCs w:val="22"/>
        </w:rPr>
        <w:t xml:space="preserve">Boston University Questrom (Kelly Shao → BCG)</w:t>
      </w:r>
    </w:p>
    <w:p>
      <w:pPr>
        <w:pStyle w:val="ListParagraph"/>
        <w:numPr>
          <w:ilvl w:val="0"/>
          <w:numId w:val="2"/>
        </w:numPr>
        <w:spacing w:after="80"/>
      </w:pPr>
      <w:r>
        <w:rPr>
          <w:rFonts w:ascii="Arial" w:cs="Arial" w:eastAsia="Arial" w:hAnsi="Arial"/>
          <w:sz w:val="22"/>
          <w:szCs w:val="22"/>
        </w:rPr>
        <w:t xml:space="preserve">Howard University — an HBCU (Oluchukwu Memeh → McKinsey)</w:t>
      </w:r>
    </w:p>
    <w:p>
      <w:pPr>
        <w:spacing w:after="120"/>
      </w:pPr>
    </w:p>
    <w:p>
      <w:pPr>
        <w:spacing w:after="120"/>
      </w:pPr>
      <w:r>
        <w:rPr>
          <w:rFonts w:ascii="Arial" w:cs="Arial" w:eastAsia="Arial" w:hAnsi="Arial"/>
          <w:sz w:val="22"/>
          <w:szCs w:val="22"/>
        </w:rPr>
        <w:t xml:space="preserve">In all four non-elite cases, the person had either (a) won a major case competition, (b) led a consulting-related club, (c) gone through a sophomore diversity program, or (d) done multiple internships before MBB. The non-elite path requires more deliberate effort to compensate for weaker recruiting pipelines.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20"/>
              <w:bottom w:val="single" w:color="C9A84C" w:sz="1"/>
              <w:right w:val="single" w:color="C9A84C" w:sz="1"/>
            </w:tcBorders>
            <w:shd w:fill="FFFDF0" w:val="clear"/>
            <w:tcMar>
              <w:top w:type="dxa" w:w="120"/>
              <w:left w:type="dxa" w:w="200"/>
              <w:bottom w:type="dxa" w:w="120"/>
              <w:right w:type="dxa" w:w="120"/>
            </w:tcMar>
          </w:tcPr>
          <w:p>
            <w:r>
              <w:rPr>
                <w:rFonts w:ascii="Arial" w:cs="Arial" w:eastAsia="Arial" w:hAnsi="Arial"/>
                <w:b/>
                <w:bCs/>
                <w:color w:val="C9A84C"/>
                <w:sz w:val="20"/>
                <w:szCs w:val="20"/>
              </w:rPr>
              <w:t xml:space="preserve">Key Insight</w:t>
            </w:r>
          </w:p>
          <w:p>
            <w:r>
              <w:rPr>
                <w:rFonts w:ascii="Arial" w:cs="Arial" w:eastAsia="Arial" w:hAnsi="Arial"/>
                <w:sz w:val="20"/>
                <w:szCs w:val="20"/>
              </w:rPr>
              <w:t xml:space="preserve">The difference between consulting and tech: at Google and Meta, a Stony Brook student with 3 internships can compete equally with a Princeton student. In consulting, the school brand matters more — but non-elite is not disqualifying if you build the right signals.</w:t>
            </w:r>
          </w:p>
        </w:tc>
      </w:tr>
    </w:tbl>
    <w:p>
      <w:pPr>
        <w:spacing w:after="120"/>
      </w:pPr>
    </w:p>
    <w:p>
      <w:pPr>
        <w:pStyle w:val="Heading2"/>
        <w:pBdr>
          <w:bottom w:val="single" w:color="006B3C" w:sz="6" w:space="4"/>
        </w:pBdr>
        <w:spacing w:after="120" w:before="280"/>
      </w:pPr>
      <w:r>
        <w:rPr>
          <w:rFonts w:ascii="Arial" w:cs="Arial" w:eastAsia="Arial" w:hAnsi="Arial"/>
          <w:b/>
          <w:bCs/>
          <w:color w:val="1A2744"/>
          <w:sz w:val="26"/>
          <w:szCs w:val="26"/>
        </w:rPr>
        <w:t xml:space="preserve">2.2 Majors Are Surprisingly Diverse — This Is NOT All Econ/Finance</w:t>
      </w:r>
    </w:p>
    <w:p>
      <w:pPr>
        <w:spacing w:after="120"/>
      </w:pPr>
      <w:r>
        <w:rPr>
          <w:rFonts w:ascii="Arial" w:cs="Arial" w:eastAsia="Arial" w:hAnsi="Arial"/>
          <w:sz w:val="22"/>
          <w:szCs w:val="22"/>
        </w:rPr>
        <w:t xml:space="preserve">Across the 10 full profiles, the majors ranged far beyond what most people assume:</w:t>
      </w:r>
    </w:p>
    <w:p>
      <w:pPr>
        <w:spacing w:after="120"/>
      </w:pPr>
    </w:p>
    <w:p>
      <w:pPr>
        <w:pStyle w:val="ListParagraph"/>
        <w:numPr>
          <w:ilvl w:val="0"/>
          <w:numId w:val="2"/>
        </w:numPr>
        <w:spacing w:after="80"/>
      </w:pPr>
      <w:r>
        <w:rPr>
          <w:rFonts w:ascii="Arial" w:cs="Arial" w:eastAsia="Arial" w:hAnsi="Arial"/>
          <w:sz w:val="22"/>
          <w:szCs w:val="22"/>
        </w:rPr>
        <w:t xml:space="preserve">Public Policy + Computer Science (Duke)</w:t>
      </w:r>
    </w:p>
    <w:p>
      <w:pPr>
        <w:pStyle w:val="ListParagraph"/>
        <w:numPr>
          <w:ilvl w:val="0"/>
          <w:numId w:val="2"/>
        </w:numPr>
        <w:spacing w:after="80"/>
      </w:pPr>
      <w:r>
        <w:rPr>
          <w:rFonts w:ascii="Arial" w:cs="Arial" w:eastAsia="Arial" w:hAnsi="Arial"/>
          <w:sz w:val="22"/>
          <w:szCs w:val="22"/>
        </w:rPr>
        <w:t xml:space="preserve">Engineering (Howard)</w:t>
      </w:r>
    </w:p>
    <w:p>
      <w:pPr>
        <w:pStyle w:val="ListParagraph"/>
        <w:numPr>
          <w:ilvl w:val="0"/>
          <w:numId w:val="2"/>
        </w:numPr>
        <w:spacing w:after="80"/>
      </w:pPr>
      <w:r>
        <w:rPr>
          <w:rFonts w:ascii="Arial" w:cs="Arial" w:eastAsia="Arial" w:hAnsi="Arial"/>
          <w:sz w:val="22"/>
          <w:szCs w:val="22"/>
        </w:rPr>
        <w:t xml:space="preserve">Computer Science + Management Science &amp; Engineering (Stanford)</w:t>
      </w:r>
    </w:p>
    <w:p>
      <w:pPr>
        <w:pStyle w:val="ListParagraph"/>
        <w:numPr>
          <w:ilvl w:val="0"/>
          <w:numId w:val="2"/>
        </w:numPr>
        <w:spacing w:after="80"/>
      </w:pPr>
      <w:r>
        <w:rPr>
          <w:rFonts w:ascii="Arial" w:cs="Arial" w:eastAsia="Arial" w:hAnsi="Arial"/>
          <w:sz w:val="22"/>
          <w:szCs w:val="22"/>
        </w:rPr>
        <w:t xml:space="preserve">Economics + Astrophysics (UChicago)</w:t>
      </w:r>
    </w:p>
    <w:p>
      <w:pPr>
        <w:pStyle w:val="ListParagraph"/>
        <w:numPr>
          <w:ilvl w:val="0"/>
          <w:numId w:val="2"/>
        </w:numPr>
        <w:spacing w:after="80"/>
      </w:pPr>
      <w:r>
        <w:rPr>
          <w:rFonts w:ascii="Arial" w:cs="Arial" w:eastAsia="Arial" w:hAnsi="Arial"/>
          <w:sz w:val="22"/>
          <w:szCs w:val="22"/>
        </w:rPr>
        <w:t xml:space="preserve">BBA Marketing + Information Systems (Boston University)</w:t>
      </w:r>
    </w:p>
    <w:p>
      <w:pPr>
        <w:pStyle w:val="ListParagraph"/>
        <w:numPr>
          <w:ilvl w:val="0"/>
          <w:numId w:val="2"/>
        </w:numPr>
        <w:spacing w:after="80"/>
      </w:pPr>
      <w:r>
        <w:rPr>
          <w:rFonts w:ascii="Arial" w:cs="Arial" w:eastAsia="Arial" w:hAnsi="Arial"/>
          <w:sz w:val="22"/>
          <w:szCs w:val="22"/>
        </w:rPr>
        <w:t xml:space="preserve">Industrial &amp; Labor Relations (Cornell ILR)</w:t>
      </w:r>
    </w:p>
    <w:p>
      <w:pPr>
        <w:pStyle w:val="ListParagraph"/>
        <w:numPr>
          <w:ilvl w:val="0"/>
          <w:numId w:val="2"/>
        </w:numPr>
        <w:spacing w:after="80"/>
      </w:pPr>
      <w:r>
        <w:rPr>
          <w:rFonts w:ascii="Arial" w:cs="Arial" w:eastAsia="Arial" w:hAnsi="Arial"/>
          <w:sz w:val="22"/>
          <w:szCs w:val="22"/>
        </w:rPr>
        <w:t xml:space="preserve">Business (Indiana / GWU)</w:t>
      </w:r>
    </w:p>
    <w:p>
      <w:pPr>
        <w:pStyle w:val="ListParagraph"/>
        <w:numPr>
          <w:ilvl w:val="0"/>
          <w:numId w:val="2"/>
        </w:numPr>
        <w:spacing w:after="80"/>
      </w:pPr>
      <w:r>
        <w:rPr>
          <w:rFonts w:ascii="Arial" w:cs="Arial" w:eastAsia="Arial" w:hAnsi="Arial"/>
          <w:sz w:val="22"/>
          <w:szCs w:val="22"/>
        </w:rPr>
        <w:t xml:space="preserve">MBA + MEd (UVA Darden — post-MBA hire)</w:t>
      </w:r>
    </w:p>
    <w:p>
      <w:pPr>
        <w:spacing w:after="120"/>
      </w:pPr>
    </w:p>
    <w:p>
      <w:pPr>
        <w:spacing w:after="120"/>
      </w:pPr>
      <w:r>
        <w:rPr>
          <w:rFonts w:ascii="Arial" w:cs="Arial" w:eastAsia="Arial" w:hAnsi="Arial"/>
          <w:sz w:val="22"/>
          <w:szCs w:val="22"/>
        </w:rPr>
        <w:t xml:space="preserve">The common thread is not the major — it's quantitative aptitude (ability to work with numbers and data) plus structured thinking (ability to break down a problem). Business and economics majors are common, but so are engineering, CS, and even labor relations. No one in this sample had a purely arts or humanities major at the undergrad level, though Lydia (GWU Business) had a heavy arts co-curricular background.</w:t>
      </w:r>
    </w:p>
    <w:p>
      <w:pPr>
        <w:spacing w:after="120"/>
      </w:pPr>
    </w:p>
    <w:p>
      <w:pPr>
        <w:pStyle w:val="Heading2"/>
        <w:pBdr>
          <w:bottom w:val="single" w:color="006B3C" w:sz="6" w:space="4"/>
        </w:pBdr>
        <w:spacing w:after="120" w:before="280"/>
      </w:pPr>
      <w:r>
        <w:rPr>
          <w:rFonts w:ascii="Arial" w:cs="Arial" w:eastAsia="Arial" w:hAnsi="Arial"/>
          <w:b/>
          <w:bCs/>
          <w:color w:val="1A2744"/>
          <w:sz w:val="26"/>
          <w:szCs w:val="26"/>
        </w:rPr>
        <w:t xml:space="preserve">2.3 The ACI/Summer Associate Internship Is THE Gateway</w:t>
      </w:r>
    </w:p>
    <w:p>
      <w:pPr>
        <w:spacing w:after="120"/>
      </w:pPr>
      <w:r>
        <w:rPr>
          <w:rFonts w:ascii="Arial" w:cs="Arial" w:eastAsia="Arial" w:hAnsi="Arial"/>
          <w:sz w:val="22"/>
          <w:szCs w:val="22"/>
        </w:rPr>
        <w:t xml:space="preserve">Every undergrad consultant in this sample — without exception — got their full-time offer by returning from an internship:</w:t>
      </w:r>
    </w:p>
    <w:p>
      <w:pPr>
        <w:spacing w:after="120"/>
      </w:pPr>
    </w:p>
    <w:p>
      <w:pPr>
        <w:pStyle w:val="ListParagraph"/>
        <w:numPr>
          <w:ilvl w:val="0"/>
          <w:numId w:val="2"/>
        </w:numPr>
        <w:spacing w:after="80"/>
      </w:pPr>
      <w:r>
        <w:rPr>
          <w:rFonts w:ascii="Arial" w:cs="Arial" w:eastAsia="Arial" w:hAnsi="Arial"/>
          <w:sz w:val="22"/>
          <w:szCs w:val="22"/>
        </w:rPr>
        <w:t xml:space="preserve">Bain's Associate Consultant Intern (ACI) program → return offer → full-time ACI</w:t>
      </w:r>
    </w:p>
    <w:p>
      <w:pPr>
        <w:pStyle w:val="ListParagraph"/>
        <w:numPr>
          <w:ilvl w:val="0"/>
          <w:numId w:val="2"/>
        </w:numPr>
        <w:spacing w:after="80"/>
      </w:pPr>
      <w:r>
        <w:rPr>
          <w:rFonts w:ascii="Arial" w:cs="Arial" w:eastAsia="Arial" w:hAnsi="Arial"/>
          <w:sz w:val="22"/>
          <w:szCs w:val="22"/>
        </w:rPr>
        <w:t xml:space="preserve">BCG's Summer Associate role → return offer → full-time Associate</w:t>
      </w:r>
    </w:p>
    <w:p>
      <w:pPr>
        <w:pStyle w:val="ListParagraph"/>
        <w:numPr>
          <w:ilvl w:val="0"/>
          <w:numId w:val="2"/>
        </w:numPr>
        <w:spacing w:after="80"/>
      </w:pPr>
      <w:r>
        <w:rPr>
          <w:rFonts w:ascii="Arial" w:cs="Arial" w:eastAsia="Arial" w:hAnsi="Arial"/>
          <w:sz w:val="22"/>
          <w:szCs w:val="22"/>
        </w:rPr>
        <w:t xml:space="preserve">McKinsey's Business Analyst/Consultant Analyst internship → return offer → full-time</w:t>
      </w:r>
    </w:p>
    <w:p>
      <w:pPr>
        <w:spacing w:after="120"/>
      </w:pPr>
    </w:p>
    <w:p>
      <w:pPr>
        <w:spacing w:after="120"/>
      </w:pPr>
      <w:r>
        <w:rPr>
          <w:rFonts w:ascii="Arial" w:cs="Arial" w:eastAsia="Arial" w:hAnsi="Arial"/>
          <w:sz w:val="22"/>
          <w:szCs w:val="22"/>
        </w:rPr>
        <w:t xml:space="preserve">This makes the junior-year internship in consulting even more critical than in tech. In tech, some people got their first FAANG offer from cold applications. In consulting, every path in this sample was: internship → return offer → done. Nobody cold-applied to full-time consulting roles after graduating.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20"/>
              <w:bottom w:val="single" w:color="C9A84C" w:sz="1"/>
              <w:right w:val="single" w:color="C9A84C" w:sz="1"/>
            </w:tcBorders>
            <w:shd w:fill="FFFDF0" w:val="clear"/>
            <w:tcMar>
              <w:top w:type="dxa" w:w="120"/>
              <w:left w:type="dxa" w:w="200"/>
              <w:bottom w:type="dxa" w:w="120"/>
              <w:right w:type="dxa" w:w="120"/>
            </w:tcMar>
          </w:tcPr>
          <w:p>
            <w:r>
              <w:rPr>
                <w:rFonts w:ascii="Arial" w:cs="Arial" w:eastAsia="Arial" w:hAnsi="Arial"/>
                <w:b/>
                <w:bCs/>
                <w:color w:val="C9A84C"/>
                <w:sz w:val="20"/>
                <w:szCs w:val="20"/>
              </w:rPr>
              <w:t xml:space="preserve">Critical Timeline</w:t>
            </w:r>
          </w:p>
          <w:p>
            <w:r>
              <w:rPr>
                <w:rFonts w:ascii="Arial" w:cs="Arial" w:eastAsia="Arial" w:hAnsi="Arial"/>
                <w:sz w:val="20"/>
                <w:szCs w:val="20"/>
              </w:rPr>
              <w:t xml:space="preserve">MBB recruiting is compressed and early. McKinsey, BCG, and Bain typically open recruiting for summer internships in August–October of your junior year. If you're not prepared by the start of your junior year, you've already missed the window. Case prep has to begin sophomore year.</w:t>
            </w:r>
          </w:p>
        </w:tc>
      </w:tr>
    </w:tbl>
    <w:p>
      <w:pPr>
        <w:spacing w:after="120"/>
      </w:pPr>
    </w:p>
    <w:p>
      <w:pPr>
        <w:pStyle w:val="Heading2"/>
        <w:pBdr>
          <w:bottom w:val="single" w:color="006B3C" w:sz="6" w:space="4"/>
        </w:pBdr>
        <w:spacing w:after="120" w:before="280"/>
      </w:pPr>
      <w:r>
        <w:rPr>
          <w:rFonts w:ascii="Arial" w:cs="Arial" w:eastAsia="Arial" w:hAnsi="Arial"/>
          <w:b/>
          <w:bCs/>
          <w:color w:val="1A2744"/>
          <w:sz w:val="26"/>
          <w:szCs w:val="26"/>
        </w:rPr>
        <w:t xml:space="preserve">2.4 Sophomore Diversity Programs Are the Real Entry Point</w:t>
      </w:r>
    </w:p>
    <w:p>
      <w:pPr>
        <w:spacing w:after="120"/>
      </w:pPr>
      <w:r>
        <w:rPr>
          <w:rFonts w:ascii="Arial" w:cs="Arial" w:eastAsia="Arial" w:hAnsi="Arial"/>
          <w:sz w:val="22"/>
          <w:szCs w:val="22"/>
        </w:rPr>
        <w:t xml:space="preserve">Just like STEP/New Technologist in tech, MBB each run programs specifically for freshmen and sophomores from underrepresented backgrounds. Lydia Melka-White explicitly named Deloitte's early diversity program as her entry into professional consulting, which led to her Bain offer two years later. She also mentioned Bain Emerging Leaders (BEL) as open to sophomores.</w:t>
      </w:r>
    </w:p>
    <w:p>
      <w:pPr>
        <w:spacing w:after="120"/>
      </w:pPr>
    </w:p>
    <w:p>
      <w:pPr>
        <w:pStyle w:val="ListParagraph"/>
        <w:numPr>
          <w:ilvl w:val="0"/>
          <w:numId w:val="2"/>
        </w:numPr>
        <w:spacing w:after="80"/>
      </w:pPr>
      <w:r>
        <w:rPr>
          <w:rFonts w:ascii="Arial" w:cs="Arial" w:eastAsia="Arial" w:hAnsi="Arial"/>
          <w:sz w:val="22"/>
          <w:szCs w:val="22"/>
        </w:rPr>
        <w:t xml:space="preserve">Bain Emerging Leaders (BEL) — for underrepresented sophomores; applications open ~Feb 1</w:t>
      </w:r>
    </w:p>
    <w:p>
      <w:pPr>
        <w:pStyle w:val="ListParagraph"/>
        <w:numPr>
          <w:ilvl w:val="0"/>
          <w:numId w:val="2"/>
        </w:numPr>
        <w:spacing w:after="80"/>
      </w:pPr>
      <w:r>
        <w:rPr>
          <w:rFonts w:ascii="Arial" w:cs="Arial" w:eastAsia="Arial" w:hAnsi="Arial"/>
          <w:sz w:val="22"/>
          <w:szCs w:val="22"/>
        </w:rPr>
        <w:t xml:space="preserve">McKinsey Freshman Summit / Early Insight (varies by year)</w:t>
      </w:r>
    </w:p>
    <w:p>
      <w:pPr>
        <w:pStyle w:val="ListParagraph"/>
        <w:numPr>
          <w:ilvl w:val="0"/>
          <w:numId w:val="2"/>
        </w:numPr>
        <w:spacing w:after="80"/>
      </w:pPr>
      <w:r>
        <w:rPr>
          <w:rFonts w:ascii="Arial" w:cs="Arial" w:eastAsia="Arial" w:hAnsi="Arial"/>
          <w:sz w:val="22"/>
          <w:szCs w:val="22"/>
        </w:rPr>
        <w:t xml:space="preserve">BCG Consulting Challenge / Early Access Programs</w:t>
      </w:r>
    </w:p>
    <w:p>
      <w:pPr>
        <w:pStyle w:val="ListParagraph"/>
        <w:numPr>
          <w:ilvl w:val="0"/>
          <w:numId w:val="2"/>
        </w:numPr>
        <w:spacing w:after="80"/>
      </w:pPr>
      <w:r>
        <w:rPr>
          <w:rFonts w:ascii="Arial" w:cs="Arial" w:eastAsia="Arial" w:hAnsi="Arial"/>
          <w:sz w:val="22"/>
          <w:szCs w:val="22"/>
        </w:rPr>
        <w:t xml:space="preserve">Deloitte Discovery Intern Program — Lydia's specific entry point</w:t>
      </w:r>
    </w:p>
    <w:p>
      <w:pPr>
        <w:pStyle w:val="ListParagraph"/>
        <w:numPr>
          <w:ilvl w:val="0"/>
          <w:numId w:val="2"/>
        </w:numPr>
        <w:spacing w:after="80"/>
      </w:pPr>
      <w:r>
        <w:rPr>
          <w:rFonts w:ascii="Arial" w:cs="Arial" w:eastAsia="Arial" w:hAnsi="Arial"/>
          <w:sz w:val="22"/>
          <w:szCs w:val="22"/>
        </w:rPr>
        <w:t xml:space="preserve">Oliver Wyman's Black Leaders in Business / Women in Business programs</w:t>
      </w:r>
    </w:p>
    <w:p>
      <w:pPr>
        <w:spacing w:after="120"/>
      </w:pPr>
    </w:p>
    <w:p>
      <w:pPr>
        <w:spacing w:after="120"/>
      </w:pPr>
      <w:r>
        <w:rPr>
          <w:rFonts w:ascii="Arial" w:cs="Arial" w:eastAsia="Arial" w:hAnsi="Arial"/>
          <w:sz w:val="22"/>
          <w:szCs w:val="22"/>
        </w:rPr>
        <w:t xml:space="preserve">These programs are the consulting version of Google STEP. They give you access to mentors, case workshops, and a head start on networking before you ever apply to the full internship. Three of the four non-elite school consultants in this dataset explicitly used diversity programs as their on-ramp.</w:t>
      </w:r>
    </w:p>
    <w:p>
      <w:pPr>
        <w:spacing w:after="120"/>
      </w:pPr>
    </w:p>
    <w:p>
      <w:pPr>
        <w:pStyle w:val="Heading2"/>
        <w:pBdr>
          <w:bottom w:val="single" w:color="006B3C" w:sz="6" w:space="4"/>
        </w:pBdr>
        <w:spacing w:after="120" w:before="280"/>
      </w:pPr>
      <w:r>
        <w:rPr>
          <w:rFonts w:ascii="Arial" w:cs="Arial" w:eastAsia="Arial" w:hAnsi="Arial"/>
          <w:b/>
          <w:bCs/>
          <w:color w:val="1A2744"/>
          <w:sz w:val="26"/>
          <w:szCs w:val="26"/>
        </w:rPr>
        <w:t xml:space="preserve">2.5 Case Competitions Are the Single Highest-Leverage Activity</w:t>
      </w:r>
    </w:p>
    <w:p>
      <w:pPr>
        <w:spacing w:after="120"/>
      </w:pPr>
      <w:r>
        <w:rPr>
          <w:rFonts w:ascii="Arial" w:cs="Arial" w:eastAsia="Arial" w:hAnsi="Arial"/>
          <w:sz w:val="22"/>
          <w:szCs w:val="22"/>
        </w:rPr>
        <w:t xml:space="preserve">In tech, the equivalent signal is building a project or getting a research publication. In consulting, it's winning a case competition. Amala Neervannan (Indiana → Bain) won two separate case competitions — the National Diversity Case Competition and the International Global Scaling Challenge — before she had a single MBB offer. This was her primary differentiator as a non-target school student.</w:t>
      </w:r>
    </w:p>
    <w:p>
      <w:pPr>
        <w:spacing w:after="120"/>
      </w:pPr>
    </w:p>
    <w:p>
      <w:pPr>
        <w:pStyle w:val="ListParagraph"/>
        <w:numPr>
          <w:ilvl w:val="0"/>
          <w:numId w:val="2"/>
        </w:numPr>
        <w:spacing w:after="80"/>
      </w:pPr>
      <w:r>
        <w:rPr>
          <w:rFonts w:ascii="Arial" w:cs="Arial" w:eastAsia="Arial" w:hAnsi="Arial"/>
          <w:sz w:val="22"/>
          <w:szCs w:val="22"/>
        </w:rPr>
        <w:t xml:space="preserve">National Diversity Case Competition (hosted by Kelley School of Business, Indiana) — open to students from all schools</w:t>
      </w:r>
    </w:p>
    <w:p>
      <w:pPr>
        <w:pStyle w:val="ListParagraph"/>
        <w:numPr>
          <w:ilvl w:val="0"/>
          <w:numId w:val="2"/>
        </w:numPr>
        <w:spacing w:after="80"/>
      </w:pPr>
      <w:r>
        <w:rPr>
          <w:rFonts w:ascii="Arial" w:cs="Arial" w:eastAsia="Arial" w:hAnsi="Arial"/>
          <w:sz w:val="22"/>
          <w:szCs w:val="22"/>
        </w:rPr>
        <w:t xml:space="preserve">International Global Scaling Challenge</w:t>
      </w:r>
    </w:p>
    <w:p>
      <w:pPr>
        <w:pStyle w:val="ListParagraph"/>
        <w:numPr>
          <w:ilvl w:val="0"/>
          <w:numId w:val="2"/>
        </w:numPr>
        <w:spacing w:after="80"/>
      </w:pPr>
      <w:r>
        <w:rPr>
          <w:rFonts w:ascii="Arial" w:cs="Arial" w:eastAsia="Arial" w:hAnsi="Arial"/>
          <w:sz w:val="22"/>
          <w:szCs w:val="22"/>
        </w:rPr>
        <w:t xml:space="preserve">Deloitte Case Competition</w:t>
      </w:r>
    </w:p>
    <w:p>
      <w:pPr>
        <w:pStyle w:val="ListParagraph"/>
        <w:numPr>
          <w:ilvl w:val="0"/>
          <w:numId w:val="2"/>
        </w:numPr>
        <w:spacing w:after="80"/>
      </w:pPr>
      <w:r>
        <w:rPr>
          <w:rFonts w:ascii="Arial" w:cs="Arial" w:eastAsia="Arial" w:hAnsi="Arial"/>
          <w:sz w:val="22"/>
          <w:szCs w:val="22"/>
        </w:rPr>
        <w:t xml:space="preserve">Darden Case Competition (UVA)</w:t>
      </w:r>
    </w:p>
    <w:p>
      <w:pPr>
        <w:pStyle w:val="ListParagraph"/>
        <w:numPr>
          <w:ilvl w:val="0"/>
          <w:numId w:val="2"/>
        </w:numPr>
        <w:spacing w:after="80"/>
      </w:pPr>
      <w:r>
        <w:rPr>
          <w:rFonts w:ascii="Arial" w:cs="Arial" w:eastAsia="Arial" w:hAnsi="Arial"/>
          <w:sz w:val="22"/>
          <w:szCs w:val="22"/>
        </w:rPr>
        <w:t xml:space="preserve">MIT Sloan Case Competition</w:t>
      </w:r>
    </w:p>
    <w:p>
      <w:pPr>
        <w:spacing w:after="120"/>
      </w:pPr>
    </w:p>
    <w:p>
      <w:pPr>
        <w:spacing w:after="120"/>
      </w:pPr>
      <w:r>
        <w:rPr>
          <w:rFonts w:ascii="Arial" w:cs="Arial" w:eastAsia="Arial" w:hAnsi="Arial"/>
          <w:sz w:val="22"/>
          <w:szCs w:val="22"/>
        </w:rPr>
        <w:t xml:space="preserve">Case competitions achieve two things simultaneously: they develop the structured problem-solving skills tested in case interviews, and they produce a visible, verifiable credential that differentiates you from other applicants. Lydia also directly described her case prep process: 6 weeks, Management Consulted platform, watching video examples, and practicing with partners.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20"/>
              <w:bottom w:val="single" w:color="C9A84C" w:sz="1"/>
              <w:right w:val="single" w:color="C9A84C" w:sz="1"/>
            </w:tcBorders>
            <w:shd w:fill="FFFDF0" w:val="clear"/>
            <w:tcMar>
              <w:top w:type="dxa" w:w="120"/>
              <w:left w:type="dxa" w:w="200"/>
              <w:bottom w:type="dxa" w:w="120"/>
              <w:right w:type="dxa" w:w="120"/>
            </w:tcMar>
          </w:tcPr>
          <w:p>
            <w:r>
              <w:rPr>
                <w:rFonts w:ascii="Arial" w:cs="Arial" w:eastAsia="Arial" w:hAnsi="Arial"/>
                <w:b/>
                <w:bCs/>
                <w:color w:val="C9A84C"/>
                <w:sz w:val="20"/>
                <w:szCs w:val="20"/>
              </w:rPr>
              <w:t xml:space="preserve">Lydia's Exact Case Prep Process</w:t>
            </w:r>
          </w:p>
          <w:p>
            <w:r>
              <w:rPr>
                <w:rFonts w:ascii="Arial" w:cs="Arial" w:eastAsia="Arial" w:hAnsi="Arial"/>
                <w:sz w:val="20"/>
                <w:szCs w:val="20"/>
              </w:rPr>
              <w:t xml:space="preserve">Management Consulted platform (filter by firm, R1 vs. R2 cases) → watch consultants case on video → practice with a partner daily → build friendships through casing (she met her casing partner at a company exploration weekender).</w:t>
            </w:r>
          </w:p>
        </w:tc>
      </w:tr>
    </w:tbl>
    <w:p>
      <w:pPr>
        <w:spacing w:after="120"/>
      </w:pPr>
    </w:p>
    <w:p>
      <w:pPr>
        <w:pStyle w:val="Heading2"/>
        <w:pBdr>
          <w:bottom w:val="single" w:color="006B3C" w:sz="6" w:space="4"/>
        </w:pBdr>
        <w:spacing w:after="120" w:before="280"/>
      </w:pPr>
      <w:r>
        <w:rPr>
          <w:rFonts w:ascii="Arial" w:cs="Arial" w:eastAsia="Arial" w:hAnsi="Arial"/>
          <w:b/>
          <w:bCs/>
          <w:color w:val="1A2744"/>
          <w:sz w:val="26"/>
          <w:szCs w:val="26"/>
        </w:rPr>
        <w:t xml:space="preserve">2.6 Club Leadership Follows a Very Specific Pattern</w:t>
      </w:r>
    </w:p>
    <w:p>
      <w:pPr>
        <w:spacing w:after="120"/>
      </w:pPr>
      <w:r>
        <w:rPr>
          <w:rFonts w:ascii="Arial" w:cs="Arial" w:eastAsia="Arial" w:hAnsi="Arial"/>
          <w:sz w:val="22"/>
          <w:szCs w:val="22"/>
        </w:rPr>
        <w:t xml:space="preserve">Across all 10 profiles, leadership in specific types of organizations appears repeatedly:</w:t>
      </w:r>
    </w:p>
    <w:p>
      <w:pPr>
        <w:spacing w:after="120"/>
      </w:pPr>
    </w:p>
    <w:p>
      <w:pPr>
        <w:pStyle w:val="ListParagraph"/>
        <w:numPr>
          <w:ilvl w:val="0"/>
          <w:numId w:val="2"/>
        </w:numPr>
        <w:spacing w:after="80"/>
      </w:pPr>
      <w:r>
        <w:rPr>
          <w:rFonts w:ascii="Arial" w:cs="Arial" w:eastAsia="Arial" w:hAnsi="Arial"/>
          <w:sz w:val="22"/>
          <w:szCs w:val="22"/>
        </w:rPr>
        <w:t xml:space="preserve">Consulting clubs: BU Consulting Group President (Kelly), Stanford Consulting Club (Alahji), Duke Impact Investing Group (Shrey, Emilio)</w:t>
      </w:r>
    </w:p>
    <w:p>
      <w:pPr>
        <w:pStyle w:val="ListParagraph"/>
        <w:numPr>
          <w:ilvl w:val="0"/>
          <w:numId w:val="2"/>
        </w:numPr>
        <w:spacing w:after="80"/>
      </w:pPr>
      <w:r>
        <w:rPr>
          <w:rFonts w:ascii="Arial" w:cs="Arial" w:eastAsia="Arial" w:hAnsi="Arial"/>
          <w:sz w:val="22"/>
          <w:szCs w:val="22"/>
        </w:rPr>
        <w:t xml:space="preserve">Student government: Duke Student Government (Shrey, major involvement), Darden Student Association President (Tyler)</w:t>
      </w:r>
    </w:p>
    <w:p>
      <w:pPr>
        <w:pStyle w:val="ListParagraph"/>
        <w:numPr>
          <w:ilvl w:val="0"/>
          <w:numId w:val="2"/>
        </w:numPr>
        <w:spacing w:after="80"/>
      </w:pPr>
      <w:r>
        <w:rPr>
          <w:rFonts w:ascii="Arial" w:cs="Arial" w:eastAsia="Arial" w:hAnsi="Arial"/>
          <w:sz w:val="22"/>
          <w:szCs w:val="22"/>
        </w:rPr>
        <w:t xml:space="preserve">Identity/community organizations: NSBE (Alahji), Black Business Student Association (Tyler), Engineers Without Borders President (Oluchukwu)</w:t>
      </w:r>
    </w:p>
    <w:p>
      <w:pPr>
        <w:pStyle w:val="ListParagraph"/>
        <w:numPr>
          <w:ilvl w:val="0"/>
          <w:numId w:val="2"/>
        </w:numPr>
        <w:spacing w:after="80"/>
      </w:pPr>
      <w:r>
        <w:rPr>
          <w:rFonts w:ascii="Arial" w:cs="Arial" w:eastAsia="Arial" w:hAnsi="Arial"/>
          <w:sz w:val="22"/>
          <w:szCs w:val="22"/>
        </w:rPr>
        <w:t xml:space="preserve">Founding something: GW Gospel Choir (Lydia), FIRST @ Duke (Shrey)</w:t>
      </w:r>
    </w:p>
    <w:p>
      <w:pPr>
        <w:pStyle w:val="ListParagraph"/>
        <w:numPr>
          <w:ilvl w:val="0"/>
          <w:numId w:val="2"/>
        </w:numPr>
        <w:spacing w:after="80"/>
      </w:pPr>
      <w:r>
        <w:rPr>
          <w:rFonts w:ascii="Arial" w:cs="Arial" w:eastAsia="Arial" w:hAnsi="Arial"/>
          <w:sz w:val="22"/>
          <w:szCs w:val="22"/>
        </w:rPr>
        <w:t xml:space="preserve">Fellowship programs: Robertson Scholars (Emilio), Aga Khan Foundation Fellowship (Emilio), Gates Scholarship (Alahji)</w:t>
      </w:r>
    </w:p>
    <w:p>
      <w:pPr>
        <w:spacing w:after="120"/>
      </w:pPr>
    </w:p>
    <w:p>
      <w:pPr>
        <w:spacing w:after="120"/>
      </w:pPr>
      <w:r>
        <w:rPr>
          <w:rFonts w:ascii="Arial" w:cs="Arial" w:eastAsia="Arial" w:hAnsi="Arial"/>
          <w:sz w:val="22"/>
          <w:szCs w:val="22"/>
        </w:rPr>
        <w:t xml:space="preserve">Teaching and TAing also appeared multiple times: Kelly Shao TAed 4 different courses at BU. This is identical to the SWE pattern and suggests that TA experience is broadly valued across both paths.</w:t>
      </w:r>
    </w:p>
    <w:p>
      <w:pPr>
        <w:spacing w:after="120"/>
      </w:pPr>
    </w:p>
    <w:p>
      <w:pPr>
        <w:pStyle w:val="Heading2"/>
        <w:pBdr>
          <w:bottom w:val="single" w:color="006B3C" w:sz="6" w:space="4"/>
        </w:pBdr>
        <w:spacing w:after="120" w:before="280"/>
      </w:pPr>
      <w:r>
        <w:rPr>
          <w:rFonts w:ascii="Arial" w:cs="Arial" w:eastAsia="Arial" w:hAnsi="Arial"/>
          <w:b/>
          <w:bCs/>
          <w:color w:val="1A2744"/>
          <w:sz w:val="26"/>
          <w:szCs w:val="26"/>
        </w:rPr>
        <w:t xml:space="preserve">2.7 International and Social-Sector Experience Is More Valued in Consulting Than Tech</w:t>
      </w:r>
    </w:p>
    <w:p>
      <w:pPr>
        <w:spacing w:after="120"/>
      </w:pPr>
      <w:r>
        <w:rPr>
          <w:rFonts w:ascii="Arial" w:cs="Arial" w:eastAsia="Arial" w:hAnsi="Arial"/>
          <w:sz w:val="22"/>
          <w:szCs w:val="22"/>
        </w:rPr>
        <w:t xml:space="preserve">Three of the six McKinsey consultants had significant international or nonprofit experience before their offer:</w:t>
      </w:r>
    </w:p>
    <w:p>
      <w:pPr>
        <w:spacing w:after="120"/>
      </w:pPr>
    </w:p>
    <w:p>
      <w:pPr>
        <w:pStyle w:val="ListParagraph"/>
        <w:numPr>
          <w:ilvl w:val="0"/>
          <w:numId w:val="2"/>
        </w:numPr>
        <w:spacing w:after="80"/>
      </w:pPr>
      <w:r>
        <w:rPr>
          <w:rFonts w:ascii="Arial" w:cs="Arial" w:eastAsia="Arial" w:hAnsi="Arial"/>
          <w:sz w:val="22"/>
          <w:szCs w:val="22"/>
        </w:rPr>
        <w:t xml:space="preserve">Emilio Abelmann: Aga Khan Foundation Fellow (Kyrgyzstan/Geneva) + consulting work in Kenya before McKinsey</w:t>
      </w:r>
    </w:p>
    <w:p>
      <w:pPr>
        <w:pStyle w:val="ListParagraph"/>
        <w:numPr>
          <w:ilvl w:val="0"/>
          <w:numId w:val="2"/>
        </w:numPr>
        <w:spacing w:after="80"/>
      </w:pPr>
      <w:r>
        <w:rPr>
          <w:rFonts w:ascii="Arial" w:cs="Arial" w:eastAsia="Arial" w:hAnsi="Arial"/>
          <w:sz w:val="22"/>
          <w:szCs w:val="22"/>
        </w:rPr>
        <w:t xml:space="preserve">Shrey Majmudar: White House NSC (geopolitics/APEC), FBI Counterintelligence — national security focus</w:t>
      </w:r>
    </w:p>
    <w:p>
      <w:pPr>
        <w:pStyle w:val="ListParagraph"/>
        <w:numPr>
          <w:ilvl w:val="0"/>
          <w:numId w:val="2"/>
        </w:numPr>
        <w:spacing w:after="80"/>
      </w:pPr>
      <w:r>
        <w:rPr>
          <w:rFonts w:ascii="Arial" w:cs="Arial" w:eastAsia="Arial" w:hAnsi="Arial"/>
          <w:sz w:val="22"/>
          <w:szCs w:val="22"/>
        </w:rPr>
        <w:t xml:space="preserve">Bella Vandenberg: Cornell Vietnam Engaged Learning Program (labor research on manufacturing + pregnancy discrimination) — led directly to her honors thesis and differentiated her Bain application</w:t>
      </w:r>
    </w:p>
    <w:p>
      <w:pPr>
        <w:spacing w:after="120"/>
      </w:pPr>
    </w:p>
    <w:p>
      <w:pPr>
        <w:spacing w:after="120"/>
      </w:pPr>
      <w:r>
        <w:rPr>
          <w:rFonts w:ascii="Arial" w:cs="Arial" w:eastAsia="Arial" w:hAnsi="Arial"/>
          <w:sz w:val="22"/>
          <w:szCs w:val="22"/>
        </w:rPr>
        <w:t xml:space="preserve">This pattern is distinct from the SWE world, where international work rarely appeared. Consulting firms, especially McKinsey, value breadth of experience and exposure to diverse contexts. The case for hiring someone who has worked in Kyrgyzstan, studied labor conditions in Vietnam, or worked on US geopolitics is stronger in consulting than in software.</w:t>
      </w:r>
    </w:p>
    <w:p>
      <w:pPr>
        <w:spacing w:after="120"/>
      </w:pPr>
    </w:p>
    <w:p>
      <w:pPr>
        <w:pStyle w:val="Heading2"/>
        <w:pBdr>
          <w:bottom w:val="single" w:color="006B3C" w:sz="6" w:space="4"/>
        </w:pBdr>
        <w:spacing w:after="120" w:before="280"/>
      </w:pPr>
      <w:r>
        <w:rPr>
          <w:rFonts w:ascii="Arial" w:cs="Arial" w:eastAsia="Arial" w:hAnsi="Arial"/>
          <w:b/>
          <w:bCs/>
          <w:color w:val="1A2744"/>
          <w:sz w:val="26"/>
          <w:szCs w:val="26"/>
        </w:rPr>
        <w:t xml:space="preserve">2.8 Non-Traditional Paths Exist — But They're Still Structured</w:t>
      </w:r>
    </w:p>
    <w:p>
      <w:pPr>
        <w:spacing w:after="120"/>
      </w:pPr>
      <w:r>
        <w:rPr>
          <w:rFonts w:ascii="Arial" w:cs="Arial" w:eastAsia="Arial" w:hAnsi="Arial"/>
          <w:sz w:val="22"/>
          <w:szCs w:val="22"/>
        </w:rPr>
        <w:t xml:space="preserve">Two profiles stand out as genuinely non-traditional:</w:t>
      </w:r>
    </w:p>
    <w:p>
      <w:pPr>
        <w:spacing w:after="120"/>
      </w:pPr>
    </w:p>
    <w:p>
      <w:pPr>
        <w:pStyle w:val="ListParagraph"/>
        <w:numPr>
          <w:ilvl w:val="0"/>
          <w:numId w:val="2"/>
        </w:numPr>
        <w:spacing w:after="80"/>
      </w:pPr>
      <w:r>
        <w:rPr>
          <w:rFonts w:ascii="Arial" w:cs="Arial" w:eastAsia="Arial" w:hAnsi="Arial"/>
          <w:sz w:val="22"/>
          <w:szCs w:val="22"/>
        </w:rPr>
        <w:t xml:space="preserve">Shrey Majmudar: FBI Counterintelligence → White House NSC → McKinsey. He never did a finance or consulting internship. His entry was national security credibility and a Duke education with massive student government involvement.</w:t>
      </w:r>
    </w:p>
    <w:p>
      <w:pPr>
        <w:pStyle w:val="ListParagraph"/>
        <w:numPr>
          <w:ilvl w:val="0"/>
          <w:numId w:val="2"/>
        </w:numPr>
        <w:spacing w:after="80"/>
      </w:pPr>
      <w:r>
        <w:rPr>
          <w:rFonts w:ascii="Arial" w:cs="Arial" w:eastAsia="Arial" w:hAnsi="Arial"/>
          <w:sz w:val="22"/>
          <w:szCs w:val="22"/>
        </w:rPr>
        <w:t xml:space="preserve">Tyler Kelley: Worked as Director of Recruitment at Indiana University's International Studies school for two years, then went back for an MBA (Consortium Fellow at UVA Darden), did a Deloitte internship, then joined McKinsey as an Associate Consultant. The entire timeline from undergrad to McKinsey was 6+ years.</w:t>
      </w:r>
    </w:p>
    <w:p>
      <w:pPr>
        <w:spacing w:after="120"/>
      </w:pPr>
    </w:p>
    <w:p>
      <w:pPr>
        <w:spacing w:after="120"/>
      </w:pPr>
      <w:r>
        <w:rPr>
          <w:rFonts w:ascii="Arial" w:cs="Arial" w:eastAsia="Arial" w:hAnsi="Arial"/>
          <w:sz w:val="22"/>
          <w:szCs w:val="22"/>
        </w:rPr>
        <w:t xml:space="preserve">Both non-traditional paths share something: each step was deliberate and built a specific credential. The FBI→White House→McKinsey path isn't random — it's a coherent national security expertise story. The higher-ed → Darden MBA → McKinsey path is the classic 'post-MBA hire' track.</w:t>
      </w:r>
    </w:p>
    <w:p>
      <w:pPr>
        <w:spacing w:after="120"/>
      </w:pPr>
    </w:p>
    <w:p>
      <w:r>
        <w:br w:type="page"/>
      </w:r>
    </w:p>
    <w:p>
      <w:pPr>
        <w:pStyle w:val="Heading1"/>
        <w:spacing w:after="180" w:before="360"/>
      </w:pPr>
      <w:r>
        <w:rPr>
          <w:rFonts w:ascii="Arial" w:cs="Arial" w:eastAsia="Arial" w:hAnsi="Arial"/>
          <w:b/>
          <w:bCs/>
          <w:color w:val="1A2744"/>
          <w:sz w:val="36"/>
          <w:szCs w:val="36"/>
        </w:rPr>
        <w:t xml:space="preserve">3. School-Specific Assessment for the Obolu Blueprint Acceptance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rPr>
          <w:tblHeader/>
        </w:trPr>
        <w:tc>
          <w:tcPr>
            <w:tcW w:type="dxa" w:w="200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School</w:t>
            </w:r>
          </w:p>
        </w:tc>
        <w:tc>
          <w:tcPr>
            <w:tcW w:type="dxa" w:w="140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MBB Presence</w:t>
            </w:r>
          </w:p>
        </w:tc>
        <w:tc>
          <w:tcPr>
            <w:tcW w:type="dxa" w:w="140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Pipeline Strength</w:t>
            </w:r>
          </w:p>
        </w:tc>
        <w:tc>
          <w:tcPr>
            <w:tcW w:type="dxa" w:w="456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Notes for Consulting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Harvard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Very 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 MBB feeder by raw count. On-campus recruiting. OCR access to all 3 firms.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Wharton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Very High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Finance-to-consulting pipeline; Wharton's brand is arguably the single strongest for MBB recruiting.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Columbia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Strong NYC office recruiting. Core target school for McKinsey NYC, BCG NYC.</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Yale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High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Smaller class size; strong on-campus presence but fewer total spots than Harvard/Penn.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UPenn (non-Wharton)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SAS/Engineering students can still recruit via Wharton's consulting resources.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Brown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Solid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Smaller pipeline; Open Curriculum means intentionality matters more. Target school for some offices.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Cornell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Solid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ILR + Dyson = two strong non-standard pipelines into consulting. Bella (ILR→Bain) is a good example.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Stanford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High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Tech-focused; more SWE pull than consulting, but McKinsey and BCG recruit actively. Alahji (CS→McKinsey).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UC Berkeley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Solid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Bay Area tech pull is stronger; but BCG/McKinsey SF offices recruit here. Kaitlyn Phan (BCG) attended.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UCLA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Moderate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LA office recruiting; less MBB presence than Bay Area schools. Deloitte/Accenture → MBB path more common.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Georgia Tech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Moderate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Strong for Big 4 → MBB path; less direct undergrad MBB recruiting than Ivies.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USC</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Moderate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LA market; similar to UCLA. Tier 2 consulting → MBB path more realistic.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Amherst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Limited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Small school; no business major. Requires exceptional initiative — case clubs, competitions, networking.</w:t>
            </w:r>
          </w:p>
        </w:tc>
      </w:tr>
    </w:tbl>
    <w:p>
      <w:pPr>
        <w:spacing w:after="120"/>
      </w:pPr>
    </w:p>
    <w:p>
      <w:r>
        <w:br w:type="page"/>
      </w:r>
    </w:p>
    <w:p>
      <w:pPr>
        <w:pStyle w:val="Heading1"/>
        <w:spacing w:after="180" w:before="360"/>
      </w:pPr>
      <w:r>
        <w:rPr>
          <w:rFonts w:ascii="Arial" w:cs="Arial" w:eastAsia="Arial" w:hAnsi="Arial"/>
          <w:b/>
          <w:bCs/>
          <w:color w:val="1A2744"/>
          <w:sz w:val="36"/>
          <w:szCs w:val="36"/>
        </w:rPr>
        <w:t xml:space="preserve">4. The Consulting Roadmap — Built From Real Profiles</w:t>
      </w:r>
    </w:p>
    <w:p>
      <w:pPr>
        <w:spacing w:after="120"/>
      </w:pPr>
      <w:r>
        <w:rPr>
          <w:rFonts w:ascii="Arial" w:cs="Arial" w:eastAsia="Arial" w:hAnsi="Arial"/>
          <w:sz w:val="22"/>
          <w:szCs w:val="22"/>
        </w:rPr>
        <w:t xml:space="preserve">This section is grounded in what actually appears across these 10 profiles — not generic consulting advice.</w:t>
      </w:r>
    </w:p>
    <w:p>
      <w:pPr>
        <w:spacing w:after="120"/>
      </w:pPr>
    </w:p>
    <w:p>
      <w:pPr>
        <w:pStyle w:val="Heading2"/>
        <w:pBdr>
          <w:bottom w:val="single" w:color="006B3C" w:sz="6" w:space="4"/>
        </w:pBdr>
        <w:spacing w:after="120" w:before="280"/>
      </w:pPr>
      <w:r>
        <w:rPr>
          <w:rFonts w:ascii="Arial" w:cs="Arial" w:eastAsia="Arial" w:hAnsi="Arial"/>
          <w:b/>
          <w:bCs/>
          <w:color w:val="1A2744"/>
          <w:sz w:val="26"/>
          <w:szCs w:val="26"/>
        </w:rPr>
        <w:t xml:space="preserve">Phase 1: High School</w:t>
      </w:r>
    </w:p>
    <w:p>
      <w:pPr>
        <w:spacing w:after="80" w:before="200"/>
      </w:pPr>
      <w:r>
        <w:rPr>
          <w:rFonts w:ascii="Arial" w:cs="Arial" w:eastAsia="Arial" w:hAnsi="Arial"/>
          <w:b/>
          <w:bCs/>
          <w:color w:val="006B3C"/>
          <w:sz w:val="22"/>
          <w:szCs w:val="22"/>
        </w:rPr>
        <w:t xml:space="preserve">What Appeared on These Profiles</w:t>
      </w:r>
    </w:p>
    <w:p>
      <w:pPr>
        <w:pStyle w:val="ListParagraph"/>
        <w:numPr>
          <w:ilvl w:val="0"/>
          <w:numId w:val="2"/>
        </w:numPr>
        <w:spacing w:after="80"/>
      </w:pPr>
      <w:r>
        <w:rPr>
          <w:rFonts w:ascii="Arial" w:cs="Arial" w:eastAsia="Arial" w:hAnsi="Arial"/>
          <w:sz w:val="22"/>
          <w:szCs w:val="22"/>
        </w:rPr>
        <w:t xml:space="preserve">Academic excellence in a broad range of subjects: Student Marshal (top 1% of UChicago), Summa Cum Laude, Phi Beta Kappa, National Merit</w:t>
      </w:r>
    </w:p>
    <w:p>
      <w:pPr>
        <w:pStyle w:val="ListParagraph"/>
        <w:numPr>
          <w:ilvl w:val="0"/>
          <w:numId w:val="2"/>
        </w:numPr>
        <w:spacing w:after="80"/>
      </w:pPr>
      <w:r>
        <w:rPr>
          <w:rFonts w:ascii="Arial" w:cs="Arial" w:eastAsia="Arial" w:hAnsi="Arial"/>
          <w:sz w:val="22"/>
          <w:szCs w:val="22"/>
        </w:rPr>
        <w:t xml:space="preserve">Structured problem-solving from early on: Chess ELO 2307 (Henry), FIRST Robotics (Shrey), pre-college programs (Yale Global Scholar)</w:t>
      </w:r>
    </w:p>
    <w:p>
      <w:pPr>
        <w:pStyle w:val="ListParagraph"/>
        <w:numPr>
          <w:ilvl w:val="0"/>
          <w:numId w:val="2"/>
        </w:numPr>
        <w:spacing w:after="80"/>
      </w:pPr>
      <w:r>
        <w:rPr>
          <w:rFonts w:ascii="Arial" w:cs="Arial" w:eastAsia="Arial" w:hAnsi="Arial"/>
          <w:sz w:val="22"/>
          <w:szCs w:val="22"/>
        </w:rPr>
        <w:t xml:space="preserve">National Merit Hispanic Scholar (Emilio) — competitive scholarship recognition is visible to recruiting</w:t>
      </w:r>
    </w:p>
    <w:p>
      <w:pPr>
        <w:pStyle w:val="ListParagraph"/>
        <w:numPr>
          <w:ilvl w:val="0"/>
          <w:numId w:val="2"/>
        </w:numPr>
        <w:spacing w:after="80"/>
      </w:pPr>
      <w:r>
        <w:rPr>
          <w:rFonts w:ascii="Arial" w:cs="Arial" w:eastAsia="Arial" w:hAnsi="Arial"/>
          <w:sz w:val="22"/>
          <w:szCs w:val="22"/>
        </w:rPr>
        <w:t xml:space="preserve">Prep schools: Phillips Exeter Academy (Emilio). Not universal, but a consistent signal in consulting more than tech</w:t>
      </w:r>
    </w:p>
    <w:p>
      <w:pPr>
        <w:pStyle w:val="ListParagraph"/>
        <w:numPr>
          <w:ilvl w:val="0"/>
          <w:numId w:val="2"/>
        </w:numPr>
        <w:spacing w:after="80"/>
      </w:pPr>
      <w:r>
        <w:rPr>
          <w:rFonts w:ascii="Arial" w:cs="Arial" w:eastAsia="Arial" w:hAnsi="Arial"/>
          <w:sz w:val="22"/>
          <w:szCs w:val="22"/>
        </w:rPr>
        <w:t xml:space="preserve">Building or leading something: Shrey founded a FIRST Robotics team at his high school, led NHS, served on Student Council</w:t>
      </w:r>
    </w:p>
    <w:p>
      <w:pPr>
        <w:spacing w:after="120"/>
      </w:pPr>
    </w:p>
    <w:p>
      <w:pPr>
        <w:spacing w:after="80" w:before="200"/>
      </w:pPr>
      <w:r>
        <w:rPr>
          <w:rFonts w:ascii="Arial" w:cs="Arial" w:eastAsia="Arial" w:hAnsi="Arial"/>
          <w:b/>
          <w:bCs/>
          <w:color w:val="006B3C"/>
          <w:sz w:val="22"/>
          <w:szCs w:val="22"/>
        </w:rPr>
        <w:t xml:space="preserve">What Does NOT Appear</w:t>
      </w:r>
    </w:p>
    <w:p>
      <w:pPr>
        <w:pStyle w:val="ListParagraph"/>
        <w:numPr>
          <w:ilvl w:val="0"/>
          <w:numId w:val="2"/>
        </w:numPr>
        <w:spacing w:after="80"/>
      </w:pPr>
      <w:r>
        <w:rPr>
          <w:rFonts w:ascii="Arial" w:cs="Arial" w:eastAsia="Arial" w:hAnsi="Arial"/>
          <w:sz w:val="22"/>
          <w:szCs w:val="22"/>
        </w:rPr>
        <w:t xml:space="preserve">Pure academic credentials alone — everyone in this sample had extracurriculars that showed leadership or breadth</w:t>
      </w:r>
    </w:p>
    <w:p>
      <w:pPr>
        <w:pStyle w:val="ListParagraph"/>
        <w:numPr>
          <w:ilvl w:val="0"/>
          <w:numId w:val="2"/>
        </w:numPr>
        <w:spacing w:after="80"/>
      </w:pPr>
      <w:r>
        <w:rPr>
          <w:rFonts w:ascii="Arial" w:cs="Arial" w:eastAsia="Arial" w:hAnsi="Arial"/>
          <w:sz w:val="22"/>
          <w:szCs w:val="22"/>
        </w:rPr>
        <w:t xml:space="preserve">Single-dimensional profiles: the chess player was also a Student Marshal; the robotics founder was also in student government</w:t>
      </w:r>
    </w:p>
    <w:p>
      <w:pPr>
        <w:spacing w:after="120"/>
      </w:pPr>
    </w:p>
    <w:p>
      <w:pPr>
        <w:pStyle w:val="Heading2"/>
        <w:pBdr>
          <w:bottom w:val="single" w:color="006B3C" w:sz="6" w:space="4"/>
        </w:pBdr>
        <w:spacing w:after="120" w:before="280"/>
      </w:pPr>
      <w:r>
        <w:rPr>
          <w:rFonts w:ascii="Arial" w:cs="Arial" w:eastAsia="Arial" w:hAnsi="Arial"/>
          <w:b/>
          <w:bCs/>
          <w:color w:val="1A2744"/>
          <w:sz w:val="26"/>
          <w:szCs w:val="26"/>
        </w:rPr>
        <w:t xml:space="preserve">Phase 2: College — Year 1 &amp; 2 (The Setup Phase)</w:t>
      </w:r>
    </w:p>
    <w:p>
      <w:pPr>
        <w:spacing w:after="80" w:before="200"/>
      </w:pPr>
      <w:r>
        <w:rPr>
          <w:rFonts w:ascii="Arial" w:cs="Arial" w:eastAsia="Arial" w:hAnsi="Arial"/>
          <w:b/>
          <w:bCs/>
          <w:color w:val="006B3C"/>
          <w:sz w:val="22"/>
          <w:szCs w:val="22"/>
        </w:rPr>
        <w:t xml:space="preserve">Apply to Sophomore Diversity Programs Early</w:t>
      </w:r>
    </w:p>
    <w:p>
      <w:pPr>
        <w:spacing w:after="120"/>
      </w:pPr>
      <w:r>
        <w:rPr>
          <w:rFonts w:ascii="Arial" w:cs="Arial" w:eastAsia="Arial" w:hAnsi="Arial"/>
          <w:sz w:val="22"/>
          <w:szCs w:val="22"/>
        </w:rPr>
        <w:t xml:space="preserve">This is the highest-leverage action a freshman or sophomore can take in consulting. Applications open in the fall of your freshman or sophomore year:</w:t>
      </w:r>
    </w:p>
    <w:p>
      <w:pPr>
        <w:spacing w:after="120"/>
      </w:pPr>
    </w:p>
    <w:p>
      <w:pPr>
        <w:pStyle w:val="ListParagraph"/>
        <w:numPr>
          <w:ilvl w:val="0"/>
          <w:numId w:val="2"/>
        </w:numPr>
        <w:spacing w:after="80"/>
      </w:pPr>
      <w:r>
        <w:rPr>
          <w:rFonts w:ascii="Arial" w:cs="Arial" w:eastAsia="Arial" w:hAnsi="Arial"/>
          <w:sz w:val="22"/>
          <w:szCs w:val="22"/>
        </w:rPr>
        <w:t xml:space="preserve">Bain Emerging Leaders (BEL) — sophomores; applications ~February 1</w:t>
      </w:r>
    </w:p>
    <w:p>
      <w:pPr>
        <w:pStyle w:val="ListParagraph"/>
        <w:numPr>
          <w:ilvl w:val="0"/>
          <w:numId w:val="2"/>
        </w:numPr>
        <w:spacing w:after="80"/>
      </w:pPr>
      <w:r>
        <w:rPr>
          <w:rFonts w:ascii="Arial" w:cs="Arial" w:eastAsia="Arial" w:hAnsi="Arial"/>
          <w:sz w:val="22"/>
          <w:szCs w:val="22"/>
        </w:rPr>
        <w:t xml:space="preserve">McKinsey Early Insight / Freshman Summit — freshmen and sophomores from underrepresented groups</w:t>
      </w:r>
    </w:p>
    <w:p>
      <w:pPr>
        <w:pStyle w:val="ListParagraph"/>
        <w:numPr>
          <w:ilvl w:val="0"/>
          <w:numId w:val="2"/>
        </w:numPr>
        <w:spacing w:after="80"/>
      </w:pPr>
      <w:r>
        <w:rPr>
          <w:rFonts w:ascii="Arial" w:cs="Arial" w:eastAsia="Arial" w:hAnsi="Arial"/>
          <w:sz w:val="22"/>
          <w:szCs w:val="22"/>
        </w:rPr>
        <w:t xml:space="preserve">BCG Early Access / Exploring BCG programs — varies; check bcg.com/careers</w:t>
      </w:r>
    </w:p>
    <w:p>
      <w:pPr>
        <w:pStyle w:val="ListParagraph"/>
        <w:numPr>
          <w:ilvl w:val="0"/>
          <w:numId w:val="2"/>
        </w:numPr>
        <w:spacing w:after="80"/>
      </w:pPr>
      <w:r>
        <w:rPr>
          <w:rFonts w:ascii="Arial" w:cs="Arial" w:eastAsia="Arial" w:hAnsi="Arial"/>
          <w:sz w:val="22"/>
          <w:szCs w:val="22"/>
        </w:rPr>
        <w:t xml:space="preserve">Deloitte Discovery Intern — early career, underrepresented students (Lydia's path)</w:t>
      </w:r>
    </w:p>
    <w:p>
      <w:pPr>
        <w:pStyle w:val="ListParagraph"/>
        <w:numPr>
          <w:ilvl w:val="0"/>
          <w:numId w:val="2"/>
        </w:numPr>
        <w:spacing w:after="80"/>
      </w:pPr>
      <w:r>
        <w:rPr>
          <w:rFonts w:ascii="Arial" w:cs="Arial" w:eastAsia="Arial" w:hAnsi="Arial"/>
          <w:sz w:val="22"/>
          <w:szCs w:val="22"/>
        </w:rPr>
        <w:t xml:space="preserve">Oliver Wyman's Black Leaders in Business / Women in Business</w:t>
      </w:r>
    </w:p>
    <w:p>
      <w:pPr>
        <w:spacing w:after="120"/>
      </w:pPr>
    </w:p>
    <w:p>
      <w:pPr>
        <w:spacing w:after="80" w:before="200"/>
      </w:pPr>
      <w:r>
        <w:rPr>
          <w:rFonts w:ascii="Arial" w:cs="Arial" w:eastAsia="Arial" w:hAnsi="Arial"/>
          <w:b/>
          <w:bCs/>
          <w:color w:val="006B3C"/>
          <w:sz w:val="22"/>
          <w:szCs w:val="22"/>
        </w:rPr>
        <w:t xml:space="preserve">Join — and Lead — a Consulting Club</w:t>
      </w:r>
    </w:p>
    <w:p>
      <w:pPr>
        <w:spacing w:after="120"/>
      </w:pPr>
      <w:r>
        <w:rPr>
          <w:rFonts w:ascii="Arial" w:cs="Arial" w:eastAsia="Arial" w:hAnsi="Arial"/>
          <w:sz w:val="22"/>
          <w:szCs w:val="22"/>
        </w:rPr>
        <w:t xml:space="preserve">The consulting club pattern is near-universal. Kelly Shao spent 3 years in BU Consulting Group, starting as a StrategyLab analyst and ending as President. Shrey and Emilio both listed Duke Impact Investing Group. Alahji listed Stanford Consulting Club. Do not just join — progress toward leadership.</w:t>
      </w:r>
    </w:p>
    <w:p>
      <w:pPr>
        <w:spacing w:after="120"/>
      </w:pPr>
    </w:p>
    <w:p>
      <w:pPr>
        <w:spacing w:after="80" w:before="200"/>
      </w:pPr>
      <w:r>
        <w:rPr>
          <w:rFonts w:ascii="Arial" w:cs="Arial" w:eastAsia="Arial" w:hAnsi="Arial"/>
          <w:b/>
          <w:bCs/>
          <w:color w:val="006B3C"/>
          <w:sz w:val="22"/>
          <w:szCs w:val="22"/>
        </w:rPr>
        <w:t xml:space="preserve">Start Casing Sophomore Year</w:t>
      </w:r>
    </w:p>
    <w:p>
      <w:pPr>
        <w:spacing w:after="120"/>
      </w:pPr>
      <w:r>
        <w:rPr>
          <w:rFonts w:ascii="Arial" w:cs="Arial" w:eastAsia="Arial" w:hAnsi="Arial"/>
          <w:sz w:val="22"/>
          <w:szCs w:val="22"/>
        </w:rPr>
        <w:t xml:space="preserve">Lydia's timeline: Deloitte early diversity internship (sophomore, no casing required) → realized she needed to re-recruit → 6 weeks of intensive casing → Bain offer. That 6 weeks was possible only because she had some foundation. Starting case prep cold in January of junior year is too late for most people.</w:t>
      </w:r>
    </w:p>
    <w:p>
      <w:pPr>
        <w:spacing w:after="120"/>
      </w:pPr>
    </w:p>
    <w:p>
      <w:pPr>
        <w:pStyle w:val="ListParagraph"/>
        <w:numPr>
          <w:ilvl w:val="0"/>
          <w:numId w:val="2"/>
        </w:numPr>
        <w:spacing w:after="80"/>
      </w:pPr>
      <w:r>
        <w:rPr>
          <w:rFonts w:ascii="Arial" w:cs="Arial" w:eastAsia="Arial" w:hAnsi="Arial"/>
          <w:sz w:val="22"/>
          <w:szCs w:val="22"/>
        </w:rPr>
        <w:t xml:space="preserve">Platform: Management Consulted (filter by firm and round; free Wharton/Ross casebooks exist)</w:t>
      </w:r>
    </w:p>
    <w:p>
      <w:pPr>
        <w:pStyle w:val="ListParagraph"/>
        <w:numPr>
          <w:ilvl w:val="0"/>
          <w:numId w:val="2"/>
        </w:numPr>
        <w:spacing w:after="80"/>
      </w:pPr>
      <w:r>
        <w:rPr>
          <w:rFonts w:ascii="Arial" w:cs="Arial" w:eastAsia="Arial" w:hAnsi="Arial"/>
          <w:sz w:val="22"/>
          <w:szCs w:val="22"/>
        </w:rPr>
        <w:t xml:space="preserve">Method: Watch consultants case on video first → then practice with a partner → then do timed solo practice</w:t>
      </w:r>
    </w:p>
    <w:p>
      <w:pPr>
        <w:pStyle w:val="ListParagraph"/>
        <w:numPr>
          <w:ilvl w:val="0"/>
          <w:numId w:val="2"/>
        </w:numPr>
        <w:spacing w:after="80"/>
      </w:pPr>
      <w:r>
        <w:rPr>
          <w:rFonts w:ascii="Arial" w:cs="Arial" w:eastAsia="Arial" w:hAnsi="Arial"/>
          <w:sz w:val="22"/>
          <w:szCs w:val="22"/>
        </w:rPr>
        <w:t xml:space="preserve">Find a casing partner: Lydia met hers at a company exploration weekender. The relationship is worth it beyond the prep.</w:t>
      </w:r>
    </w:p>
    <w:p>
      <w:pPr>
        <w:spacing w:after="120"/>
      </w:pPr>
    </w:p>
    <w:p>
      <w:pPr>
        <w:pStyle w:val="Heading2"/>
        <w:pBdr>
          <w:bottom w:val="single" w:color="006B3C" w:sz="6" w:space="4"/>
        </w:pBdr>
        <w:spacing w:after="120" w:before="280"/>
      </w:pPr>
      <w:r>
        <w:rPr>
          <w:rFonts w:ascii="Arial" w:cs="Arial" w:eastAsia="Arial" w:hAnsi="Arial"/>
          <w:b/>
          <w:bCs/>
          <w:color w:val="1A2744"/>
          <w:sz w:val="26"/>
          <w:szCs w:val="26"/>
        </w:rPr>
        <w:t xml:space="preserve">Phase 3: Junior Year — The Make-or-Break Summer</w:t>
      </w:r>
    </w:p>
    <w:p>
      <w:pPr>
        <w:spacing w:after="80" w:before="200"/>
      </w:pPr>
      <w:r>
        <w:rPr>
          <w:rFonts w:ascii="Arial" w:cs="Arial" w:eastAsia="Arial" w:hAnsi="Arial"/>
          <w:b/>
          <w:bCs/>
          <w:color w:val="006B3C"/>
          <w:sz w:val="22"/>
          <w:szCs w:val="22"/>
        </w:rPr>
        <w:t xml:space="preserve">Applications Open August–October. This Is Not a Joke.</w:t>
      </w:r>
    </w:p>
    <w:p>
      <w:pPr>
        <w:spacing w:after="120"/>
      </w:pPr>
      <w:r>
        <w:rPr>
          <w:rFonts w:ascii="Arial" w:cs="Arial" w:eastAsia="Arial" w:hAnsi="Arial"/>
          <w:sz w:val="22"/>
          <w:szCs w:val="22"/>
        </w:rPr>
        <w:t xml:space="preserve">MBB recruiting is notoriously early. McKinsey, BCG, and Bain begin accepting applications for the following summer's internship in August and September of your junior year — in some cases before junior year even starts. If you haven't done case prep, attended networking events, and gotten your resume reviewed by October of junior year, you are behind.</w:t>
      </w:r>
    </w:p>
    <w:p>
      <w:pPr>
        <w:spacing w:after="120"/>
      </w:pPr>
    </w:p>
    <w:p>
      <w:pPr>
        <w:spacing w:after="80" w:before="200"/>
      </w:pPr>
      <w:r>
        <w:rPr>
          <w:rFonts w:ascii="Arial" w:cs="Arial" w:eastAsia="Arial" w:hAnsi="Arial"/>
          <w:b/>
          <w:bCs/>
          <w:color w:val="006B3C"/>
          <w:sz w:val="22"/>
          <w:szCs w:val="22"/>
        </w:rPr>
        <w:t xml:space="preserve">Case Interview Structure</w:t>
      </w:r>
    </w:p>
    <w:p>
      <w:pPr>
        <w:pStyle w:val="ListParagraph"/>
        <w:numPr>
          <w:ilvl w:val="0"/>
          <w:numId w:val="2"/>
        </w:numPr>
        <w:spacing w:after="80"/>
      </w:pPr>
      <w:r>
        <w:rPr>
          <w:rFonts w:ascii="Arial" w:cs="Arial" w:eastAsia="Arial" w:hAnsi="Arial"/>
          <w:sz w:val="22"/>
          <w:szCs w:val="22"/>
        </w:rPr>
        <w:t xml:space="preserve">Round 1: Typically 2 case interviews. PEI (Personal Experience Interview) + case. Focus on structured problem decomposition.</w:t>
      </w:r>
    </w:p>
    <w:p>
      <w:pPr>
        <w:pStyle w:val="ListParagraph"/>
        <w:numPr>
          <w:ilvl w:val="0"/>
          <w:numId w:val="2"/>
        </w:numPr>
        <w:spacing w:after="80"/>
      </w:pPr>
      <w:r>
        <w:rPr>
          <w:rFonts w:ascii="Arial" w:cs="Arial" w:eastAsia="Arial" w:hAnsi="Arial"/>
          <w:sz w:val="22"/>
          <w:szCs w:val="22"/>
        </w:rPr>
        <w:t xml:space="preserve">Round 2 (Final): 3–4 case interviews over one day. Interviews with partners and senior leaders.</w:t>
      </w:r>
    </w:p>
    <w:p>
      <w:pPr>
        <w:pStyle w:val="ListParagraph"/>
        <w:numPr>
          <w:ilvl w:val="0"/>
          <w:numId w:val="2"/>
        </w:numPr>
        <w:spacing w:after="80"/>
      </w:pPr>
      <w:r>
        <w:rPr>
          <w:rFonts w:ascii="Arial" w:cs="Arial" w:eastAsia="Arial" w:hAnsi="Arial"/>
          <w:sz w:val="22"/>
          <w:szCs w:val="22"/>
        </w:rPr>
        <w:t xml:space="preserve">Practice target: 50+ cases minimum, 100+ for competitive candidates. Quality over quantity — get real feedback.</w:t>
      </w:r>
    </w:p>
    <w:p>
      <w:pPr>
        <w:spacing w:after="120"/>
      </w:pPr>
    </w:p>
    <w:p>
      <w:pPr>
        <w:spacing w:after="80" w:before="200"/>
      </w:pPr>
      <w:r>
        <w:rPr>
          <w:rFonts w:ascii="Arial" w:cs="Arial" w:eastAsia="Arial" w:hAnsi="Arial"/>
          <w:b/>
          <w:bCs/>
          <w:color w:val="006B3C"/>
          <w:sz w:val="22"/>
          <w:szCs w:val="22"/>
        </w:rPr>
        <w:t xml:space="preserve">Networking Is Not Optional</w:t>
      </w:r>
    </w:p>
    <w:p>
      <w:pPr>
        <w:spacing w:after="120"/>
      </w:pPr>
      <w:r>
        <w:rPr>
          <w:rFonts w:ascii="Arial" w:cs="Arial" w:eastAsia="Arial" w:hAnsi="Arial"/>
          <w:sz w:val="22"/>
          <w:szCs w:val="22"/>
        </w:rPr>
        <w:t xml:space="preserve">Multiple profiles show 'thank you' posts naming specific Bain/McKinsey employees who helped them through recruiting. This is not courtesy — it's evidence that the network was activated. Attend office events, company exploration weekenders (Lydia mentioned one explicitly), and information sessions. Build relationships before you apply.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20"/>
              <w:bottom w:val="single" w:color="C9A84C" w:sz="1"/>
              <w:right w:val="single" w:color="C9A84C" w:sz="1"/>
            </w:tcBorders>
            <w:shd w:fill="FFFDF0" w:val="clear"/>
            <w:tcMar>
              <w:top w:type="dxa" w:w="120"/>
              <w:left w:type="dxa" w:w="200"/>
              <w:bottom w:type="dxa" w:w="120"/>
              <w:right w:type="dxa" w:w="120"/>
            </w:tcMar>
          </w:tcPr>
          <w:p>
            <w:r>
              <w:rPr>
                <w:rFonts w:ascii="Arial" w:cs="Arial" w:eastAsia="Arial" w:hAnsi="Arial"/>
                <w:b/>
                <w:bCs/>
                <w:color w:val="C9A84C"/>
                <w:sz w:val="20"/>
                <w:szCs w:val="20"/>
              </w:rPr>
              <w:t xml:space="preserve">From Lydia's Post</w:t>
            </w:r>
          </w:p>
          <w:p>
            <w:r>
              <w:rPr>
                <w:rFonts w:ascii="Arial" w:cs="Arial" w:eastAsia="Arial" w:hAnsi="Arial"/>
                <w:sz w:val="20"/>
                <w:szCs w:val="20"/>
              </w:rPr>
              <w:t xml:space="preserve">'My friend Zoe and I (who met during a company exploration weekender in Chicago) were constantly casing together.' — The networking event produced both a casing partner and a peer support relationship.</w:t>
            </w:r>
          </w:p>
        </w:tc>
      </w:tr>
    </w:tbl>
    <w:p>
      <w:pPr>
        <w:spacing w:after="120"/>
      </w:pPr>
    </w:p>
    <w:p>
      <w:pPr>
        <w:pStyle w:val="Heading2"/>
        <w:pBdr>
          <w:bottom w:val="single" w:color="006B3C" w:sz="6" w:space="4"/>
        </w:pBdr>
        <w:spacing w:after="120" w:before="280"/>
      </w:pPr>
      <w:r>
        <w:rPr>
          <w:rFonts w:ascii="Arial" w:cs="Arial" w:eastAsia="Arial" w:hAnsi="Arial"/>
          <w:b/>
          <w:bCs/>
          <w:color w:val="1A2744"/>
          <w:sz w:val="26"/>
          <w:szCs w:val="26"/>
        </w:rPr>
        <w:t xml:space="preserve">Phase 4: Senior Year and First Job</w:t>
      </w:r>
    </w:p>
    <w:p>
      <w:pPr>
        <w:pStyle w:val="ListParagraph"/>
        <w:numPr>
          <w:ilvl w:val="0"/>
          <w:numId w:val="2"/>
        </w:numPr>
        <w:spacing w:after="80"/>
      </w:pPr>
      <w:r>
        <w:rPr>
          <w:rFonts w:ascii="Arial" w:cs="Arial" w:eastAsia="Arial" w:hAnsi="Arial"/>
          <w:sz w:val="22"/>
          <w:szCs w:val="22"/>
        </w:rPr>
        <w:t xml:space="preserve">If you got a return offer: evaluate which practice area and office aligns with your long-term goals. Office matters — McKinsey NYC vs. SF vs. DC have different project profiles.</w:t>
      </w:r>
    </w:p>
    <w:p>
      <w:pPr>
        <w:pStyle w:val="ListParagraph"/>
        <w:numPr>
          <w:ilvl w:val="0"/>
          <w:numId w:val="2"/>
        </w:numPr>
        <w:spacing w:after="80"/>
      </w:pPr>
      <w:r>
        <w:rPr>
          <w:rFonts w:ascii="Arial" w:cs="Arial" w:eastAsia="Arial" w:hAnsi="Arial"/>
          <w:sz w:val="22"/>
          <w:szCs w:val="22"/>
        </w:rPr>
        <w:t xml:space="preserve">If you didn't get a return offer: Tier 2 consulting (Deloitte, Accenture, Oliver Wyman, L.E.K., A.T. Kearney) → MBB lateral is a real path. Tyler went Deloitte → McKinsey.</w:t>
      </w:r>
    </w:p>
    <w:p>
      <w:pPr>
        <w:pStyle w:val="ListParagraph"/>
        <w:numPr>
          <w:ilvl w:val="0"/>
          <w:numId w:val="2"/>
        </w:numPr>
        <w:spacing w:after="80"/>
      </w:pPr>
      <w:r>
        <w:rPr>
          <w:rFonts w:ascii="Arial" w:cs="Arial" w:eastAsia="Arial" w:hAnsi="Arial"/>
          <w:sz w:val="22"/>
          <w:szCs w:val="22"/>
        </w:rPr>
        <w:t xml:space="preserve">MBA as path corrector: If undergrad recruiting didn't go to MBB, a top MBA (HBS, Wharton, Booth, Kellogg, Columbia) resets your access entirely. The Consortium Fellowship (Tyler's path) is specifically designed for URMs pursuing MBA → consulting.</w:t>
      </w:r>
    </w:p>
    <w:p>
      <w:pPr>
        <w:spacing w:after="120"/>
      </w:pPr>
    </w:p>
    <w:p>
      <w:r>
        <w:br w:type="page"/>
      </w:r>
    </w:p>
    <w:p>
      <w:pPr>
        <w:pStyle w:val="Heading1"/>
        <w:spacing w:after="180" w:before="360"/>
      </w:pPr>
      <w:r>
        <w:rPr>
          <w:rFonts w:ascii="Arial" w:cs="Arial" w:eastAsia="Arial" w:hAnsi="Arial"/>
          <w:b/>
          <w:bCs/>
          <w:color w:val="1A2744"/>
          <w:sz w:val="36"/>
          <w:szCs w:val="36"/>
        </w:rPr>
        <w:t xml:space="preserve">5. Consulting vs. SWE — What's Actually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Dimension</w:t>
            </w:r>
          </w:p>
        </w:tc>
        <w:tc>
          <w:tcPr>
            <w:tcW w:type="dxa" w:w="328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Software Engineering</w:t>
            </w:r>
          </w:p>
        </w:tc>
        <w:tc>
          <w:tcPr>
            <w:tcW w:type="dxa" w:w="3280"/>
            <w:tcBorders>
              <w:top w:val="single" w:color="1A2744" w:sz="1"/>
              <w:left w:val="single" w:color="1A2744" w:sz="1"/>
              <w:bottom w:val="single" w:color="1A2744" w:sz="1"/>
              <w:right w:val="single" w:color="1A2744" w:sz="1"/>
            </w:tcBorders>
            <w:shd w:fill="1A2744" w:val="clear"/>
            <w:tcMar>
              <w:top w:type="dxa" w:w="100"/>
              <w:left w:type="dxa" w:w="120"/>
              <w:bottom w:type="dxa" w:w="100"/>
              <w:right w:type="dxa" w:w="120"/>
            </w:tcMar>
          </w:tcPr>
          <w:p>
            <w:r>
              <w:rPr>
                <w:rFonts w:ascii="Arial" w:cs="Arial" w:eastAsia="Arial" w:hAnsi="Arial"/>
                <w:b/>
                <w:bCs/>
                <w:color w:val="FFFFFF"/>
                <w:sz w:val="19"/>
                <w:szCs w:val="19"/>
              </w:rPr>
              <w:t xml:space="preserve">Management Consulting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School prestige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Matters less — strong internship &gt; elite school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Matters more — target school list is narrower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Major</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Must be CS/Engineering/STEM</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Can be anything — econ, policy, ILR, business, 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Key skill test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Technical coding interview (LeetCode)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Case interview (structured problem-solving + math)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Key club</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CS club, research lab, hackathon team</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Consulting club, case competition, investment club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Sophomore program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Google STEP, Microsoft New Technologist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Bain Emerging Leaders, McKinsey Early Insight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Path to FT offer</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Internship → return offer (very common)</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Internship → return offer (nearly universal)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International experience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Rarely appeared in profiles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Very common; often a differentiator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Non-linear paths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Common (Capital One → Twitter → Meta)</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Exist but less common at undergrad level; MBA is the main non-linear path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Timeline pressure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Applications open Aug–Dec of junior year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Applications often open Aug–Oct — even earlier</w:t>
            </w:r>
          </w:p>
        </w:tc>
      </w:tr>
    </w:tbl>
    <w:p>
      <w:pPr>
        <w:spacing w:after="120"/>
      </w:pPr>
    </w:p>
    <w:p>
      <w:pPr>
        <w:spacing w:after="120"/>
      </w:pPr>
    </w:p>
    <w:p>
      <w:pPr>
        <w:pStyle w:val="Heading1"/>
        <w:spacing w:after="180" w:before="360"/>
      </w:pPr>
      <w:r>
        <w:rPr>
          <w:rFonts w:ascii="Arial" w:cs="Arial" w:eastAsia="Arial" w:hAnsi="Arial"/>
          <w:b/>
          <w:bCs/>
          <w:color w:val="1A2744"/>
          <w:sz w:val="36"/>
          <w:szCs w:val="36"/>
        </w:rPr>
        <w:t xml:space="preserve">Sources &amp; Transparency</w:t>
      </w:r>
    </w:p>
    <w:p>
      <w:pPr>
        <w:spacing w:after="120"/>
      </w:pPr>
      <w:r>
        <w:rPr>
          <w:rFonts w:ascii="Arial" w:cs="Arial" w:eastAsia="Arial" w:hAnsi="Arial"/>
          <w:sz w:val="22"/>
          <w:szCs w:val="22"/>
        </w:rPr>
        <w:t xml:space="preserve">All profiles read via Chrome with user's authenticated LinkedIn session, June 2026:</w:t>
      </w:r>
    </w:p>
    <w:p>
      <w:pPr>
        <w:spacing w:after="120"/>
      </w:pPr>
    </w:p>
    <w:p>
      <w:pPr>
        <w:pStyle w:val="ListParagraph"/>
        <w:numPr>
          <w:ilvl w:val="0"/>
          <w:numId w:val="2"/>
        </w:numPr>
        <w:spacing w:after="80"/>
      </w:pPr>
      <w:r>
        <w:rPr>
          <w:rFonts w:ascii="Arial" w:cs="Arial" w:eastAsia="Arial" w:hAnsi="Arial"/>
          <w:sz w:val="22"/>
          <w:szCs w:val="22"/>
        </w:rPr>
        <w:t xml:space="preserve">Shrey Majmudar — linkedin.com/in/smajmudar</w:t>
      </w:r>
    </w:p>
    <w:p>
      <w:pPr>
        <w:pStyle w:val="ListParagraph"/>
        <w:numPr>
          <w:ilvl w:val="0"/>
          <w:numId w:val="2"/>
        </w:numPr>
        <w:spacing w:after="80"/>
      </w:pPr>
      <w:r>
        <w:rPr>
          <w:rFonts w:ascii="Arial" w:cs="Arial" w:eastAsia="Arial" w:hAnsi="Arial"/>
          <w:sz w:val="22"/>
          <w:szCs w:val="22"/>
        </w:rPr>
        <w:t xml:space="preserve">Oluchukwu Memeh — linkedin.com/in/oluchukwumemeh</w:t>
      </w:r>
    </w:p>
    <w:p>
      <w:pPr>
        <w:pStyle w:val="ListParagraph"/>
        <w:numPr>
          <w:ilvl w:val="0"/>
          <w:numId w:val="2"/>
        </w:numPr>
        <w:spacing w:after="80"/>
      </w:pPr>
      <w:r>
        <w:rPr>
          <w:rFonts w:ascii="Arial" w:cs="Arial" w:eastAsia="Arial" w:hAnsi="Arial"/>
          <w:sz w:val="22"/>
          <w:szCs w:val="22"/>
        </w:rPr>
        <w:t xml:space="preserve">Alahji B. — linkedin.com/in/alahjibarry</w:t>
      </w:r>
    </w:p>
    <w:p>
      <w:pPr>
        <w:pStyle w:val="ListParagraph"/>
        <w:numPr>
          <w:ilvl w:val="0"/>
          <w:numId w:val="2"/>
        </w:numPr>
        <w:spacing w:after="80"/>
      </w:pPr>
      <w:r>
        <w:rPr>
          <w:rFonts w:ascii="Arial" w:cs="Arial" w:eastAsia="Arial" w:hAnsi="Arial"/>
          <w:sz w:val="22"/>
          <w:szCs w:val="22"/>
        </w:rPr>
        <w:t xml:space="preserve">Emilio Abelmann — linkedin.com/in/enjoytheride</w:t>
      </w:r>
    </w:p>
    <w:p>
      <w:pPr>
        <w:pStyle w:val="ListParagraph"/>
        <w:numPr>
          <w:ilvl w:val="0"/>
          <w:numId w:val="2"/>
        </w:numPr>
        <w:spacing w:after="80"/>
      </w:pPr>
      <w:r>
        <w:rPr>
          <w:rFonts w:ascii="Arial" w:cs="Arial" w:eastAsia="Arial" w:hAnsi="Arial"/>
          <w:sz w:val="22"/>
          <w:szCs w:val="22"/>
        </w:rPr>
        <w:t xml:space="preserve">Henry S. — linkedin.com/in/henryeschafer</w:t>
      </w:r>
    </w:p>
    <w:p>
      <w:pPr>
        <w:pStyle w:val="ListParagraph"/>
        <w:numPr>
          <w:ilvl w:val="0"/>
          <w:numId w:val="2"/>
        </w:numPr>
        <w:spacing w:after="80"/>
      </w:pPr>
      <w:r>
        <w:rPr>
          <w:rFonts w:ascii="Arial" w:cs="Arial" w:eastAsia="Arial" w:hAnsi="Arial"/>
          <w:sz w:val="22"/>
          <w:szCs w:val="22"/>
        </w:rPr>
        <w:t xml:space="preserve">Tyler Kelley — linkedin.com/in/tylerrkelley1692</w:t>
      </w:r>
    </w:p>
    <w:p>
      <w:pPr>
        <w:pStyle w:val="ListParagraph"/>
        <w:numPr>
          <w:ilvl w:val="0"/>
          <w:numId w:val="2"/>
        </w:numPr>
        <w:spacing w:after="80"/>
      </w:pPr>
      <w:r>
        <w:rPr>
          <w:rFonts w:ascii="Arial" w:cs="Arial" w:eastAsia="Arial" w:hAnsi="Arial"/>
          <w:sz w:val="22"/>
          <w:szCs w:val="22"/>
        </w:rPr>
        <w:t xml:space="preserve">Kelly Shao — linkedin.com/in/kellyshao</w:t>
      </w:r>
    </w:p>
    <w:p>
      <w:pPr>
        <w:pStyle w:val="ListParagraph"/>
        <w:numPr>
          <w:ilvl w:val="0"/>
          <w:numId w:val="2"/>
        </w:numPr>
        <w:spacing w:after="80"/>
      </w:pPr>
      <w:r>
        <w:rPr>
          <w:rFonts w:ascii="Arial" w:cs="Arial" w:eastAsia="Arial" w:hAnsi="Arial"/>
          <w:sz w:val="22"/>
          <w:szCs w:val="22"/>
        </w:rPr>
        <w:t xml:space="preserve">Bella Vandenberg — linkedin.com/in/bellavandenberg</w:t>
      </w:r>
    </w:p>
    <w:p>
      <w:pPr>
        <w:pStyle w:val="ListParagraph"/>
        <w:numPr>
          <w:ilvl w:val="0"/>
          <w:numId w:val="2"/>
        </w:numPr>
        <w:spacing w:after="80"/>
      </w:pPr>
      <w:r>
        <w:rPr>
          <w:rFonts w:ascii="Arial" w:cs="Arial" w:eastAsia="Arial" w:hAnsi="Arial"/>
          <w:sz w:val="22"/>
          <w:szCs w:val="22"/>
        </w:rPr>
        <w:t xml:space="preserve">Amala Neervannan — linkedin.com/in/amalaneervannan</w:t>
      </w:r>
    </w:p>
    <w:p>
      <w:pPr>
        <w:pStyle w:val="ListParagraph"/>
        <w:numPr>
          <w:ilvl w:val="0"/>
          <w:numId w:val="2"/>
        </w:numPr>
        <w:spacing w:after="80"/>
      </w:pPr>
      <w:r>
        <w:rPr>
          <w:rFonts w:ascii="Arial" w:cs="Arial" w:eastAsia="Arial" w:hAnsi="Arial"/>
          <w:sz w:val="22"/>
          <w:szCs w:val="22"/>
        </w:rPr>
        <w:t xml:space="preserve">Lydia Melka-White — linkedin.com/in/lydiamelka</w:t>
      </w:r>
    </w:p>
    <w:p>
      <w:pPr>
        <w:spacing w:after="120"/>
      </w:pPr>
    </w:p>
    <w:p>
      <w:pPr>
        <w:spacing w:after="120"/>
      </w:pPr>
      <w:r>
        <w:rPr>
          <w:rFonts w:ascii="Arial" w:cs="Arial" w:eastAsia="Arial" w:hAnsi="Arial"/>
          <w:sz w:val="22"/>
          <w:szCs w:val="22"/>
        </w:rPr>
        <w:t xml:space="preserve">School names from 10 additional partially-locked profiles also noted. Compiled June 2026 for Obolu Blueprint.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B3C"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Obolu Blueprint 2026  |  Based on real data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B3C" w:sz="4" w:space="4"/>
      </w:pBdr>
    </w:pPr>
    <w:r>
      <w:rPr>
        <w:rFonts w:ascii="Arial" w:cs="Arial" w:eastAsia="Arial" w:hAnsi="Arial"/>
        <w:color w:val="888888"/>
        <w:sz w:val="18"/>
        <w:szCs w:val="18"/>
      </w:rPr>
      <w:t xml:space="preserve">Consulting College Plan  |  Based on 10 Real LinkedIn Profiles  |  Obolu Blueprint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2026-06-27T21:51:40.788Z</dcterms:created>
  <dcterms:modified xsi:type="dcterms:W3CDTF">2026-06-27T21:51:40.788Z</dcterms:modified>
</cp:coreProperties>
</file>

<file path=docProps/custom.xml><?xml version="1.0" encoding="utf-8"?>
<Properties xmlns="http://schemas.openxmlformats.org/officeDocument/2006/custom-properties" xmlns:vt="http://schemas.openxmlformats.org/officeDocument/2006/docPropsVTypes"/>
</file>