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031C" w:rsidRPr="00B8031C" w:rsidRDefault="00B8031C" w:rsidP="00B8031C">
      <w:pPr>
        <w:widowControl/>
        <w:spacing w:after="210" w:line="540" w:lineRule="atLeast"/>
        <w:jc w:val="left"/>
        <w:outlineLvl w:val="0"/>
        <w:rPr>
          <w:rFonts w:ascii="inherit" w:eastAsia="宋体" w:hAnsi="inherit" w:cs="宋体"/>
          <w:kern w:val="36"/>
          <w:sz w:val="39"/>
          <w:szCs w:val="39"/>
        </w:rPr>
      </w:pPr>
      <w:r w:rsidRPr="00B8031C">
        <w:rPr>
          <w:rFonts w:ascii="inherit" w:eastAsia="宋体" w:hAnsi="inherit" w:cs="宋体" w:hint="eastAsia"/>
          <w:kern w:val="36"/>
          <w:sz w:val="39"/>
          <w:szCs w:val="39"/>
        </w:rPr>
        <w:fldChar w:fldCharType="begin"/>
      </w:r>
      <w:r w:rsidRPr="00B8031C">
        <w:rPr>
          <w:rFonts w:ascii="inherit" w:eastAsia="宋体" w:hAnsi="inherit" w:cs="宋体" w:hint="eastAsia"/>
          <w:kern w:val="36"/>
          <w:sz w:val="39"/>
          <w:szCs w:val="39"/>
        </w:rPr>
        <w:instrText xml:space="preserve"> HYPERLINK "https://www.kubernetes.org.cn/8194.html" </w:instrText>
      </w:r>
      <w:r w:rsidRPr="00B8031C">
        <w:rPr>
          <w:rFonts w:ascii="inherit" w:eastAsia="宋体" w:hAnsi="inherit" w:cs="宋体" w:hint="eastAsia"/>
          <w:kern w:val="36"/>
          <w:sz w:val="39"/>
          <w:szCs w:val="39"/>
        </w:rPr>
        <w:fldChar w:fldCharType="separate"/>
      </w:r>
      <w:r w:rsidRPr="00B8031C">
        <w:rPr>
          <w:rFonts w:ascii="inherit" w:eastAsia="宋体" w:hAnsi="inherit" w:cs="宋体"/>
          <w:b/>
          <w:bCs/>
          <w:color w:val="222222"/>
          <w:kern w:val="36"/>
          <w:sz w:val="39"/>
          <w:szCs w:val="39"/>
        </w:rPr>
        <w:t>从单体到混乱的微服务，阿里云</w:t>
      </w:r>
      <w:r w:rsidRPr="00B8031C">
        <w:rPr>
          <w:rFonts w:ascii="inherit" w:eastAsia="宋体" w:hAnsi="inherit" w:cs="宋体"/>
          <w:b/>
          <w:bCs/>
          <w:color w:val="222222"/>
          <w:kern w:val="36"/>
          <w:sz w:val="39"/>
          <w:szCs w:val="39"/>
        </w:rPr>
        <w:t>托</w:t>
      </w:r>
      <w:r w:rsidRPr="00B8031C">
        <w:rPr>
          <w:rFonts w:ascii="inherit" w:eastAsia="宋体" w:hAnsi="inherit" w:cs="宋体"/>
          <w:b/>
          <w:bCs/>
          <w:color w:val="222222"/>
          <w:kern w:val="36"/>
          <w:sz w:val="39"/>
          <w:szCs w:val="39"/>
        </w:rPr>
        <w:t>管式服务网格是如何诞生的？</w:t>
      </w:r>
      <w:r w:rsidRPr="00B8031C">
        <w:rPr>
          <w:rFonts w:ascii="inherit" w:eastAsia="宋体" w:hAnsi="inherit" w:cs="宋体" w:hint="eastAsia"/>
          <w:kern w:val="36"/>
          <w:sz w:val="39"/>
          <w:szCs w:val="39"/>
        </w:rPr>
        <w:fldChar w:fldCharType="end"/>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在服务网格技术使用之前，为了更快更灵活地进行业务创新, 我们常常会把现有应用进行现代化改造, 把单体应用程序分拆为分布式的微服务架构。通常来说,  在微服务架构模式的变迁过程中, 最初都是面向代码库的模式。</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对这些微服务治理的实现, 往往是以代码库的方式把这些服务治理的逻辑构建在应用程序本身中，这些代码库中包括了流量管理、熔断、重试、客户端负载均衡、安全以及可观测性等这样的一些功能。这些代码库随着功能的不断增强, 版本也随之变更，因为版本不同导致的冲突问题处处可见。此外，库的版本一旦变更，即使你的应用逻辑并没有任何变化，整个应用也要随之全部变更。由此可见, 随着应用的增长和团队数量的增加，跨服务一致地使用这些服务治理功能会变得非常复杂。</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color w:val="555555"/>
          <w:kern w:val="0"/>
          <w:sz w:val="23"/>
          <w:szCs w:val="23"/>
        </w:rPr>
        <w:fldChar w:fldCharType="begin"/>
      </w:r>
      <w:r w:rsidRPr="00B8031C">
        <w:rPr>
          <w:rFonts w:ascii="微软雅黑" w:eastAsia="微软雅黑" w:hAnsi="微软雅黑" w:cs="宋体"/>
          <w:color w:val="555555"/>
          <w:kern w:val="0"/>
          <w:sz w:val="23"/>
          <w:szCs w:val="23"/>
        </w:rPr>
        <w:instrText xml:space="preserve"> INCLUDEPICTURE "/var/folders/p8/3rv2l4_x7_13f2gjv64zllt00000gn/T/com.microsoft.Word/WebArchiveCopyPasteTempFiles/c860fc163bf3496d84a018beb0dd2eb0.png" \* MERGEFORMATINET </w:instrText>
      </w:r>
      <w:r w:rsidRPr="00B8031C">
        <w:rPr>
          <w:rFonts w:ascii="微软雅黑" w:eastAsia="微软雅黑" w:hAnsi="微软雅黑" w:cs="宋体"/>
          <w:color w:val="555555"/>
          <w:kern w:val="0"/>
          <w:sz w:val="23"/>
          <w:szCs w:val="23"/>
        </w:rPr>
        <w:fldChar w:fldCharType="separate"/>
      </w:r>
      <w:r w:rsidRPr="00B8031C">
        <w:rPr>
          <w:rFonts w:ascii="微软雅黑" w:eastAsia="微软雅黑" w:hAnsi="微软雅黑" w:cs="宋体"/>
          <w:noProof/>
          <w:color w:val="555555"/>
          <w:kern w:val="0"/>
          <w:sz w:val="23"/>
          <w:szCs w:val="23"/>
        </w:rPr>
        <w:drawing>
          <wp:inline distT="0" distB="0" distL="0" distR="0">
            <wp:extent cx="5270500" cy="23355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335530"/>
                    </a:xfrm>
                    <a:prstGeom prst="rect">
                      <a:avLst/>
                    </a:prstGeom>
                    <a:noFill/>
                    <a:ln>
                      <a:noFill/>
                    </a:ln>
                  </pic:spPr>
                </pic:pic>
              </a:graphicData>
            </a:graphic>
          </wp:inline>
        </w:drawing>
      </w:r>
      <w:r w:rsidRPr="00B8031C">
        <w:rPr>
          <w:rFonts w:ascii="微软雅黑" w:eastAsia="微软雅黑" w:hAnsi="微软雅黑" w:cs="宋体"/>
          <w:color w:val="555555"/>
          <w:kern w:val="0"/>
          <w:sz w:val="23"/>
          <w:szCs w:val="23"/>
        </w:rPr>
        <w:fldChar w:fldCharType="end"/>
      </w:r>
    </w:p>
    <w:p w:rsidR="00B8031C" w:rsidRPr="00B8031C" w:rsidRDefault="00B8031C" w:rsidP="00B8031C">
      <w:pPr>
        <w:widowControl/>
        <w:spacing w:before="300" w:after="150"/>
        <w:jc w:val="left"/>
        <w:outlineLvl w:val="0"/>
        <w:rPr>
          <w:rFonts w:ascii="微软雅黑" w:eastAsia="微软雅黑" w:hAnsi="微软雅黑" w:cs="宋体" w:hint="eastAsia"/>
          <w:color w:val="555555"/>
          <w:kern w:val="36"/>
          <w:sz w:val="54"/>
          <w:szCs w:val="54"/>
        </w:rPr>
      </w:pPr>
      <w:r w:rsidRPr="00B8031C">
        <w:rPr>
          <w:rFonts w:ascii="微软雅黑" w:eastAsia="微软雅黑" w:hAnsi="微软雅黑" w:cs="宋体" w:hint="eastAsia"/>
          <w:color w:val="555555"/>
          <w:kern w:val="36"/>
          <w:sz w:val="54"/>
          <w:szCs w:val="54"/>
        </w:rPr>
        <w:t>服务治理的能力 Sidecar 化</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lastRenderedPageBreak/>
        <w:t>通过把这些服务治理的能力 Sidecar 化，就能够把服务治理的能力与应用程序本身进行了解耦，可以较好地支持多种编程语言、同时这些 Sidecar 能力不需要依赖于某种特定技术框架。这就是我们常说的面向 Sidecar proxy 的架构模式。</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随着这些 Sidecar 代理功能的增强，原本需要在代码库中实现的服务治理功能被抽象化为一个个通用组件, 并被逐渐地下沉到代理中。这些服务治理能力的标准化、统一化，可以解决复杂系统微服务实现中面临的差异大、缺少共性的问题，可以很好地支持不同的编程语言、不同的框架。</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通过把应用服务通信能力抽象下沉到基础设施,   使得开发人员可以更加聚焦于业务应用本身开发,  而让基础设施来提供这些通用的能力。</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与此同时， 容器编排技术的更加成熟，也加速了 Sidecar 代理的普及与使用的便捷。Kubernetes 作为一个出色的容器部署和管理平台、</w:t>
      </w:r>
      <w:proofErr w:type="spellStart"/>
      <w:r w:rsidRPr="00B8031C">
        <w:rPr>
          <w:rFonts w:ascii="微软雅黑" w:eastAsia="微软雅黑" w:hAnsi="微软雅黑" w:cs="宋体" w:hint="eastAsia"/>
          <w:color w:val="555555"/>
          <w:kern w:val="0"/>
          <w:sz w:val="23"/>
          <w:szCs w:val="23"/>
        </w:rPr>
        <w:t>Istio</w:t>
      </w:r>
      <w:proofErr w:type="spellEnd"/>
      <w:r w:rsidRPr="00B8031C">
        <w:rPr>
          <w:rFonts w:ascii="微软雅黑" w:eastAsia="微软雅黑" w:hAnsi="微软雅黑" w:cs="宋体" w:hint="eastAsia"/>
          <w:color w:val="555555"/>
          <w:kern w:val="0"/>
          <w:sz w:val="23"/>
          <w:szCs w:val="23"/>
        </w:rPr>
        <w:t xml:space="preserve"> 作为应用服务治理的平台，两者的结合成为了将这些应用服务通信能力下沉到基础设施的载体。</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在云原生应用模型中，一个应用程序可能会包含数百个服务，每个服务又有数百个实例构成，那么这些成百上千个应用程序的 Sidecar 代理如何统一管理，这就是服务网格中定义的控制平面部分要解决的问题。作为代理，Envoy 非常适合服务网格的场景，但要发挥 Envoy 的最大价值，就需要使它很好地与底层基础设施或组件紧密配合。</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color w:val="555555"/>
          <w:kern w:val="0"/>
          <w:sz w:val="23"/>
          <w:szCs w:val="23"/>
        </w:rPr>
        <w:lastRenderedPageBreak/>
        <w:fldChar w:fldCharType="begin"/>
      </w:r>
      <w:r w:rsidRPr="00B8031C">
        <w:rPr>
          <w:rFonts w:ascii="微软雅黑" w:eastAsia="微软雅黑" w:hAnsi="微软雅黑" w:cs="宋体"/>
          <w:color w:val="555555"/>
          <w:kern w:val="0"/>
          <w:sz w:val="23"/>
          <w:szCs w:val="23"/>
        </w:rPr>
        <w:instrText xml:space="preserve"> INCLUDEPICTURE "/var/folders/p8/3rv2l4_x7_13f2gjv64zllt00000gn/T/com.microsoft.Word/WebArchiveCopyPasteTempFiles/6f61609d7c614ede9f43970a457b7b5f.png" \* MERGEFORMATINET </w:instrText>
      </w:r>
      <w:r w:rsidRPr="00B8031C">
        <w:rPr>
          <w:rFonts w:ascii="微软雅黑" w:eastAsia="微软雅黑" w:hAnsi="微软雅黑" w:cs="宋体"/>
          <w:color w:val="555555"/>
          <w:kern w:val="0"/>
          <w:sz w:val="23"/>
          <w:szCs w:val="23"/>
        </w:rPr>
        <w:fldChar w:fldCharType="separate"/>
      </w:r>
      <w:r w:rsidRPr="00B8031C">
        <w:rPr>
          <w:rFonts w:ascii="微软雅黑" w:eastAsia="微软雅黑" w:hAnsi="微软雅黑" w:cs="宋体"/>
          <w:noProof/>
          <w:color w:val="555555"/>
          <w:kern w:val="0"/>
          <w:sz w:val="23"/>
          <w:szCs w:val="23"/>
        </w:rPr>
        <w:drawing>
          <wp:inline distT="0" distB="0" distL="0" distR="0">
            <wp:extent cx="5270500" cy="27425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2742565"/>
                    </a:xfrm>
                    <a:prstGeom prst="rect">
                      <a:avLst/>
                    </a:prstGeom>
                    <a:noFill/>
                    <a:ln>
                      <a:noFill/>
                    </a:ln>
                  </pic:spPr>
                </pic:pic>
              </a:graphicData>
            </a:graphic>
          </wp:inline>
        </w:drawing>
      </w:r>
      <w:r w:rsidRPr="00B8031C">
        <w:rPr>
          <w:rFonts w:ascii="微软雅黑" w:eastAsia="微软雅黑" w:hAnsi="微软雅黑" w:cs="宋体"/>
          <w:color w:val="555555"/>
          <w:kern w:val="0"/>
          <w:sz w:val="23"/>
          <w:szCs w:val="23"/>
        </w:rPr>
        <w:fldChar w:fldCharType="end"/>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这些 Sidecar 代理形成一个网状的数据平面，通过该数据平面处理和观察所有服务间的流量。数据平面扮演了一个用来建立、保护和控制通过网格的流量的角色。</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负责数据平面如何执行的管理组件称为控制平面。控制平面是服务网格的大脑，并为网格使用人员提供公开 API，以便较容易地操纵网络行为。</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启用服务网格之后,  开发人员、运维人员以及 SRE 团队将以统一的、声明的方式解决应用服务管理问题。</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color w:val="555555"/>
          <w:kern w:val="0"/>
          <w:sz w:val="23"/>
          <w:szCs w:val="23"/>
        </w:rPr>
        <w:fldChar w:fldCharType="begin"/>
      </w:r>
      <w:r w:rsidRPr="00B8031C">
        <w:rPr>
          <w:rFonts w:ascii="微软雅黑" w:eastAsia="微软雅黑" w:hAnsi="微软雅黑" w:cs="宋体"/>
          <w:color w:val="555555"/>
          <w:kern w:val="0"/>
          <w:sz w:val="23"/>
          <w:szCs w:val="23"/>
        </w:rPr>
        <w:instrText xml:space="preserve"> INCLUDEPICTURE "/var/folders/p8/3rv2l4_x7_13f2gjv64zllt00000gn/T/com.microsoft.Word/WebArchiveCopyPasteTempFiles/11ade6ea61934601ae212d589def4bfc.png" \* MERGEFORMATINET </w:instrText>
      </w:r>
      <w:r w:rsidRPr="00B8031C">
        <w:rPr>
          <w:rFonts w:ascii="微软雅黑" w:eastAsia="微软雅黑" w:hAnsi="微软雅黑" w:cs="宋体"/>
          <w:color w:val="555555"/>
          <w:kern w:val="0"/>
          <w:sz w:val="23"/>
          <w:szCs w:val="23"/>
        </w:rPr>
        <w:fldChar w:fldCharType="separate"/>
      </w:r>
      <w:r w:rsidRPr="00B8031C">
        <w:rPr>
          <w:rFonts w:ascii="微软雅黑" w:eastAsia="微软雅黑" w:hAnsi="微软雅黑" w:cs="宋体"/>
          <w:noProof/>
          <w:color w:val="555555"/>
          <w:kern w:val="0"/>
          <w:sz w:val="23"/>
          <w:szCs w:val="23"/>
        </w:rPr>
        <w:drawing>
          <wp:inline distT="0" distB="0" distL="0" distR="0">
            <wp:extent cx="5270500" cy="23691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369185"/>
                    </a:xfrm>
                    <a:prstGeom prst="rect">
                      <a:avLst/>
                    </a:prstGeom>
                    <a:noFill/>
                    <a:ln>
                      <a:noFill/>
                    </a:ln>
                  </pic:spPr>
                </pic:pic>
              </a:graphicData>
            </a:graphic>
          </wp:inline>
        </w:drawing>
      </w:r>
      <w:r w:rsidRPr="00B8031C">
        <w:rPr>
          <w:rFonts w:ascii="微软雅黑" w:eastAsia="微软雅黑" w:hAnsi="微软雅黑" w:cs="宋体"/>
          <w:color w:val="555555"/>
          <w:kern w:val="0"/>
          <w:sz w:val="23"/>
          <w:szCs w:val="23"/>
        </w:rPr>
        <w:fldChar w:fldCharType="end"/>
      </w:r>
    </w:p>
    <w:p w:rsidR="00B8031C" w:rsidRPr="00B8031C" w:rsidRDefault="00B8031C" w:rsidP="00B8031C">
      <w:pPr>
        <w:widowControl/>
        <w:spacing w:before="300" w:after="150"/>
        <w:jc w:val="left"/>
        <w:outlineLvl w:val="0"/>
        <w:rPr>
          <w:rFonts w:ascii="微软雅黑" w:eastAsia="微软雅黑" w:hAnsi="微软雅黑" w:cs="宋体" w:hint="eastAsia"/>
          <w:color w:val="555555"/>
          <w:kern w:val="36"/>
          <w:sz w:val="54"/>
          <w:szCs w:val="54"/>
        </w:rPr>
      </w:pPr>
      <w:r w:rsidRPr="00B8031C">
        <w:rPr>
          <w:rFonts w:ascii="微软雅黑" w:eastAsia="微软雅黑" w:hAnsi="微软雅黑" w:cs="宋体" w:hint="eastAsia"/>
          <w:color w:val="555555"/>
          <w:kern w:val="36"/>
          <w:sz w:val="54"/>
          <w:szCs w:val="54"/>
        </w:rPr>
        <w:lastRenderedPageBreak/>
        <w:t>服务网格 ASM 产品架构</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 xml:space="preserve">作为业内首个全托管 </w:t>
      </w:r>
      <w:proofErr w:type="spellStart"/>
      <w:r w:rsidRPr="00B8031C">
        <w:rPr>
          <w:rFonts w:ascii="微软雅黑" w:eastAsia="微软雅黑" w:hAnsi="微软雅黑" w:cs="宋体" w:hint="eastAsia"/>
          <w:color w:val="555555"/>
          <w:kern w:val="0"/>
          <w:sz w:val="23"/>
          <w:szCs w:val="23"/>
        </w:rPr>
        <w:t>Istio</w:t>
      </w:r>
      <w:proofErr w:type="spellEnd"/>
      <w:r w:rsidRPr="00B8031C">
        <w:rPr>
          <w:rFonts w:ascii="微软雅黑" w:eastAsia="微软雅黑" w:hAnsi="微软雅黑" w:cs="宋体" w:hint="eastAsia"/>
          <w:color w:val="555555"/>
          <w:kern w:val="0"/>
          <w:sz w:val="23"/>
          <w:szCs w:val="23"/>
        </w:rPr>
        <w:t xml:space="preserve"> 兼容的服务网格产品 ASM，一开始从架构上就保持了与社区、业界趋势的一致性，控制平面的组件托管在阿里云侧，与数据面侧的用户集群独立。ASM 产品是基于社区开源的 </w:t>
      </w:r>
      <w:proofErr w:type="spellStart"/>
      <w:r w:rsidRPr="00B8031C">
        <w:rPr>
          <w:rFonts w:ascii="微软雅黑" w:eastAsia="微软雅黑" w:hAnsi="微软雅黑" w:cs="宋体" w:hint="eastAsia"/>
          <w:color w:val="555555"/>
          <w:kern w:val="0"/>
          <w:sz w:val="23"/>
          <w:szCs w:val="23"/>
        </w:rPr>
        <w:t>Istio</w:t>
      </w:r>
      <w:proofErr w:type="spellEnd"/>
      <w:r w:rsidRPr="00B8031C">
        <w:rPr>
          <w:rFonts w:ascii="微软雅黑" w:eastAsia="微软雅黑" w:hAnsi="微软雅黑" w:cs="宋体" w:hint="eastAsia"/>
          <w:color w:val="555555"/>
          <w:kern w:val="0"/>
          <w:sz w:val="23"/>
          <w:szCs w:val="23"/>
        </w:rPr>
        <w:t xml:space="preserve"> 定制实现的，在托管的控制面侧提供了用于支撑精细化的流量管理和安全管理的组件能力。通过托管模式，解耦了 </w:t>
      </w:r>
      <w:proofErr w:type="spellStart"/>
      <w:r w:rsidRPr="00B8031C">
        <w:rPr>
          <w:rFonts w:ascii="微软雅黑" w:eastAsia="微软雅黑" w:hAnsi="微软雅黑" w:cs="宋体" w:hint="eastAsia"/>
          <w:color w:val="555555"/>
          <w:kern w:val="0"/>
          <w:sz w:val="23"/>
          <w:szCs w:val="23"/>
        </w:rPr>
        <w:t>Istio</w:t>
      </w:r>
      <w:proofErr w:type="spellEnd"/>
      <w:r w:rsidRPr="00B8031C">
        <w:rPr>
          <w:rFonts w:ascii="微软雅黑" w:eastAsia="微软雅黑" w:hAnsi="微软雅黑" w:cs="宋体" w:hint="eastAsia"/>
          <w:color w:val="555555"/>
          <w:kern w:val="0"/>
          <w:sz w:val="23"/>
          <w:szCs w:val="23"/>
        </w:rPr>
        <w:t xml:space="preserve"> 组件与所管理的 K8s 集群的生命周期管理，使得架构更加灵活，提升了系统的可伸缩性。</w:t>
      </w:r>
    </w:p>
    <w:p w:rsidR="00B8031C" w:rsidRPr="00B8031C" w:rsidRDefault="00B8031C" w:rsidP="00B8031C">
      <w:pPr>
        <w:widowControl/>
        <w:numPr>
          <w:ilvl w:val="0"/>
          <w:numId w:val="1"/>
        </w:numPr>
        <w:spacing w:before="100" w:beforeAutospacing="1" w:after="90"/>
        <w:ind w:left="75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在深入分析服务网格方面，提供了网格诊断能力，把过去一年多来客户遇到的问题以及如何解决这些问题的手段变成产品能力, 帮助用户快速定位遇到的问题；</w:t>
      </w:r>
    </w:p>
    <w:p w:rsidR="00B8031C" w:rsidRPr="00B8031C" w:rsidRDefault="00B8031C" w:rsidP="00B8031C">
      <w:pPr>
        <w:widowControl/>
        <w:numPr>
          <w:ilvl w:val="0"/>
          <w:numId w:val="1"/>
        </w:numPr>
        <w:spacing w:before="100" w:beforeAutospacing="1" w:after="90"/>
        <w:ind w:left="75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在扩展与集成方面，ASM 产品整合阿里云服务包括可观测性服务链路追踪/日志服务/Prometheus 监控等、跨 VPC 网络互连 CEN 能力等，同时也优化整合了社区开源软件包括 OPA 的支持、授权服务的定制化能力、限流服务等。</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 xml:space="preserve">此外，随着 </w:t>
      </w:r>
      <w:proofErr w:type="spellStart"/>
      <w:r w:rsidRPr="00B8031C">
        <w:rPr>
          <w:rFonts w:ascii="微软雅黑" w:eastAsia="微软雅黑" w:hAnsi="微软雅黑" w:cs="宋体" w:hint="eastAsia"/>
          <w:color w:val="555555"/>
          <w:kern w:val="0"/>
          <w:sz w:val="23"/>
          <w:szCs w:val="23"/>
        </w:rPr>
        <w:t>Istio</w:t>
      </w:r>
      <w:proofErr w:type="spellEnd"/>
      <w:r w:rsidRPr="00B8031C">
        <w:rPr>
          <w:rFonts w:ascii="微软雅黑" w:eastAsia="微软雅黑" w:hAnsi="微软雅黑" w:cs="宋体" w:hint="eastAsia"/>
          <w:color w:val="555555"/>
          <w:kern w:val="0"/>
          <w:sz w:val="23"/>
          <w:szCs w:val="23"/>
        </w:rPr>
        <w:t xml:space="preserve"> 新架构的优化，将 </w:t>
      </w:r>
      <w:proofErr w:type="spellStart"/>
      <w:r w:rsidRPr="00B8031C">
        <w:rPr>
          <w:rFonts w:ascii="微软雅黑" w:eastAsia="微软雅黑" w:hAnsi="微软雅黑" w:cs="宋体" w:hint="eastAsia"/>
          <w:color w:val="555555"/>
          <w:kern w:val="0"/>
          <w:sz w:val="23"/>
          <w:szCs w:val="23"/>
        </w:rPr>
        <w:t>WebAssembly</w:t>
      </w:r>
      <w:proofErr w:type="spellEnd"/>
      <w:r w:rsidRPr="00B8031C">
        <w:rPr>
          <w:rFonts w:ascii="微软雅黑" w:eastAsia="微软雅黑" w:hAnsi="微软雅黑" w:cs="宋体" w:hint="eastAsia"/>
          <w:color w:val="555555"/>
          <w:kern w:val="0"/>
          <w:sz w:val="23"/>
          <w:szCs w:val="23"/>
        </w:rPr>
        <w:t xml:space="preserve"> 技术引入服务网格，解决代理扩展的问题。这样一来,  ASM 架构就变成了“托管的高可用弹性控制平面 + 可扩展的插件式的数据平面“的模式。</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在数据平面的支持上，ASM 产品可以支持多种不同的计算基础设施，这包括了阿里云提供的公有云 ACK 集群（其中包括了托管的 K8s 集群和专有 K8s 集</w:t>
      </w:r>
      <w:r w:rsidRPr="00B8031C">
        <w:rPr>
          <w:rFonts w:ascii="微软雅黑" w:eastAsia="微软雅黑" w:hAnsi="微软雅黑" w:cs="宋体" w:hint="eastAsia"/>
          <w:color w:val="555555"/>
          <w:kern w:val="0"/>
          <w:sz w:val="23"/>
          <w:szCs w:val="23"/>
        </w:rPr>
        <w:lastRenderedPageBreak/>
        <w:t>群）、也包括对的无服务器 Kubernetes 容器服务 ASK 集群的支持。同时, 对非容器化应用例如运行在 ECS 虚拟机上的应用服务网格化的支持。</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此外，ASM 也推出了一个支持多云混合云的能力，能够针对外部的非阿里云 K8s 集群进行支持，不论这个集群是在用户自建的 IDC 机房，还是在其他的公有云之上，都可以通过 ASM 进行统一的服务治理。</w:t>
      </w:r>
    </w:p>
    <w:p w:rsidR="00B8031C" w:rsidRPr="00B8031C" w:rsidRDefault="00B8031C" w:rsidP="00B8031C">
      <w:pPr>
        <w:widowControl/>
        <w:spacing w:before="300" w:after="150"/>
        <w:jc w:val="left"/>
        <w:outlineLvl w:val="0"/>
        <w:rPr>
          <w:rFonts w:ascii="微软雅黑" w:eastAsia="微软雅黑" w:hAnsi="微软雅黑" w:cs="宋体" w:hint="eastAsia"/>
          <w:color w:val="555555"/>
          <w:kern w:val="36"/>
          <w:sz w:val="54"/>
          <w:szCs w:val="54"/>
        </w:rPr>
      </w:pPr>
      <w:r w:rsidRPr="00B8031C">
        <w:rPr>
          <w:rFonts w:ascii="微软雅黑" w:eastAsia="微软雅黑" w:hAnsi="微软雅黑" w:cs="宋体" w:hint="eastAsia"/>
          <w:color w:val="555555"/>
          <w:kern w:val="36"/>
          <w:sz w:val="54"/>
          <w:szCs w:val="54"/>
        </w:rPr>
        <w:t>多种类型计算服务统一管理的基础设施</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 xml:space="preserve">接下来,  将会介绍托管式服务网格在成为多种类型计算服务统一管理的基础设施中, 如何提供了统一的流量管理能力、统一的服务安全能力、统一的服务可观测性能力、以及如何基于 </w:t>
      </w:r>
      <w:proofErr w:type="spellStart"/>
      <w:r w:rsidRPr="00B8031C">
        <w:rPr>
          <w:rFonts w:ascii="微软雅黑" w:eastAsia="微软雅黑" w:hAnsi="微软雅黑" w:cs="宋体" w:hint="eastAsia"/>
          <w:color w:val="555555"/>
          <w:kern w:val="0"/>
          <w:sz w:val="23"/>
          <w:szCs w:val="23"/>
        </w:rPr>
        <w:t>WebAssembly</w:t>
      </w:r>
      <w:proofErr w:type="spellEnd"/>
      <w:r w:rsidRPr="00B8031C">
        <w:rPr>
          <w:rFonts w:ascii="微软雅黑" w:eastAsia="微软雅黑" w:hAnsi="微软雅黑" w:cs="宋体" w:hint="eastAsia"/>
          <w:color w:val="555555"/>
          <w:kern w:val="0"/>
          <w:sz w:val="23"/>
          <w:szCs w:val="23"/>
        </w:rPr>
        <w:t xml:space="preserve"> 实现统一的数据面可扩展能力。</w:t>
      </w:r>
    </w:p>
    <w:p w:rsidR="00B8031C" w:rsidRPr="00B8031C" w:rsidRDefault="00B8031C" w:rsidP="00B8031C">
      <w:pPr>
        <w:widowControl/>
        <w:pBdr>
          <w:bottom w:val="single" w:sz="6" w:space="8" w:color="EAEAEA"/>
        </w:pBdr>
        <w:spacing w:before="270" w:after="270"/>
        <w:jc w:val="left"/>
        <w:outlineLvl w:val="1"/>
        <w:rPr>
          <w:rFonts w:ascii="微软雅黑" w:eastAsia="微软雅黑" w:hAnsi="微软雅黑" w:cs="宋体" w:hint="eastAsia"/>
          <w:b/>
          <w:bCs/>
          <w:color w:val="555555"/>
          <w:kern w:val="0"/>
          <w:sz w:val="27"/>
          <w:szCs w:val="27"/>
        </w:rPr>
      </w:pPr>
      <w:r w:rsidRPr="00B8031C">
        <w:rPr>
          <w:rFonts w:ascii="微软雅黑" w:eastAsia="微软雅黑" w:hAnsi="微软雅黑" w:cs="宋体" w:hint="eastAsia"/>
          <w:b/>
          <w:bCs/>
          <w:color w:val="555555"/>
          <w:kern w:val="0"/>
          <w:sz w:val="27"/>
          <w:szCs w:val="27"/>
        </w:rPr>
        <w:t>1. 统一的流量管理能力</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关于统一的流量管理能力方面, 重点讲述 2 个方面。</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b/>
          <w:bCs/>
          <w:color w:val="555555"/>
          <w:kern w:val="0"/>
          <w:sz w:val="23"/>
          <w:szCs w:val="23"/>
        </w:rPr>
        <w:t>第一个是基于位置实现流量路由请求。</w:t>
      </w:r>
      <w:r w:rsidRPr="00B8031C">
        <w:rPr>
          <w:rFonts w:ascii="微软雅黑" w:eastAsia="微软雅黑" w:hAnsi="微软雅黑" w:cs="宋体" w:hint="eastAsia"/>
          <w:color w:val="555555"/>
          <w:kern w:val="0"/>
          <w:sz w:val="23"/>
          <w:szCs w:val="23"/>
        </w:rPr>
        <w:t>在大规模服务场景下, 成千上万个服务运行在不同地域的多种类型计算设施上, 这些服务需要相互调用来完成完整的功能。为了确保获得最佳性能，应当将流量路由到最近的服务，使得流量尽可能在同一个区域内，而不是只依赖于 Kubernetes 默认提供的轮询方式进行负载均衡。服务网格应当提供这样的基于位置的路由能力，一方面, 可以将流量路由到最靠近的容器, 实现本地优先的负载均衡能力, 并在主服务出现故障时可以切换到备用服务。另一</w:t>
      </w:r>
      <w:r w:rsidRPr="00B8031C">
        <w:rPr>
          <w:rFonts w:ascii="微软雅黑" w:eastAsia="微软雅黑" w:hAnsi="微软雅黑" w:cs="宋体" w:hint="eastAsia"/>
          <w:color w:val="555555"/>
          <w:kern w:val="0"/>
          <w:sz w:val="23"/>
          <w:szCs w:val="23"/>
        </w:rPr>
        <w:lastRenderedPageBreak/>
        <w:t>方面, 提供局部加权的负载平衡能力, 能够根据实际需要, 将流量按比例拆分到不同的地域。</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b/>
          <w:bCs/>
          <w:color w:val="555555"/>
          <w:kern w:val="0"/>
          <w:sz w:val="23"/>
          <w:szCs w:val="23"/>
        </w:rPr>
        <w:t>第二个是关于非 K8s 工作负载的网格化统一管理</w:t>
      </w:r>
      <w:r w:rsidRPr="00B8031C">
        <w:rPr>
          <w:rFonts w:ascii="微软雅黑" w:eastAsia="微软雅黑" w:hAnsi="微软雅黑" w:cs="宋体" w:hint="eastAsia"/>
          <w:color w:val="555555"/>
          <w:kern w:val="0"/>
          <w:sz w:val="23"/>
          <w:szCs w:val="23"/>
        </w:rPr>
        <w:t xml:space="preserve">。在一个托管的服务网格实例中, 我们可以添加若干个 K8s 集群, 并在控制面定义路由规则的配置, 也可以定义网关服务等。为了能够统一地管理非 K8s 工作负载, 我们通过一个 </w:t>
      </w:r>
      <w:proofErr w:type="spellStart"/>
      <w:r w:rsidRPr="00B8031C">
        <w:rPr>
          <w:rFonts w:ascii="微软雅黑" w:eastAsia="微软雅黑" w:hAnsi="微软雅黑" w:cs="宋体" w:hint="eastAsia"/>
          <w:color w:val="555555"/>
          <w:kern w:val="0"/>
          <w:sz w:val="23"/>
          <w:szCs w:val="23"/>
        </w:rPr>
        <w:t>WorkloadEntry</w:t>
      </w:r>
      <w:proofErr w:type="spellEnd"/>
      <w:r w:rsidRPr="00B8031C">
        <w:rPr>
          <w:rFonts w:ascii="微软雅黑" w:eastAsia="微软雅黑" w:hAnsi="微软雅黑" w:cs="宋体" w:hint="eastAsia"/>
          <w:color w:val="555555"/>
          <w:kern w:val="0"/>
          <w:sz w:val="23"/>
          <w:szCs w:val="23"/>
        </w:rPr>
        <w:t xml:space="preserve"> 的 CRD 来定义工作负载的标签以及该工作负载运行的 IP 地址等信息。然后通过 </w:t>
      </w:r>
      <w:proofErr w:type="spellStart"/>
      <w:r w:rsidRPr="00B8031C">
        <w:rPr>
          <w:rFonts w:ascii="微软雅黑" w:eastAsia="微软雅黑" w:hAnsi="微软雅黑" w:cs="宋体" w:hint="eastAsia"/>
          <w:color w:val="555555"/>
          <w:kern w:val="0"/>
          <w:sz w:val="23"/>
          <w:szCs w:val="23"/>
        </w:rPr>
        <w:t>ServiceEntry</w:t>
      </w:r>
      <w:proofErr w:type="spellEnd"/>
      <w:r w:rsidRPr="00B8031C">
        <w:rPr>
          <w:rFonts w:ascii="微软雅黑" w:eastAsia="微软雅黑" w:hAnsi="微软雅黑" w:cs="宋体" w:hint="eastAsia"/>
          <w:color w:val="555555"/>
          <w:kern w:val="0"/>
          <w:sz w:val="23"/>
          <w:szCs w:val="23"/>
        </w:rPr>
        <w:t xml:space="preserve"> CRD 将这个工作负载注册到服务网格中, 并提供类似于 K8s Pod 的处理机制来处理这些非 K8s 工作负载。譬如可以通过 selector 机制路由到对应的Pod或者这个非容器应用上。</w:t>
      </w:r>
    </w:p>
    <w:p w:rsidR="00B8031C" w:rsidRPr="00B8031C" w:rsidRDefault="00B8031C" w:rsidP="00B8031C">
      <w:pPr>
        <w:widowControl/>
        <w:pBdr>
          <w:bottom w:val="single" w:sz="6" w:space="8" w:color="EAEAEA"/>
        </w:pBdr>
        <w:spacing w:before="270" w:after="270"/>
        <w:jc w:val="left"/>
        <w:outlineLvl w:val="1"/>
        <w:rPr>
          <w:rFonts w:ascii="微软雅黑" w:eastAsia="微软雅黑" w:hAnsi="微软雅黑" w:cs="宋体" w:hint="eastAsia"/>
          <w:b/>
          <w:bCs/>
          <w:color w:val="555555"/>
          <w:kern w:val="0"/>
          <w:sz w:val="27"/>
          <w:szCs w:val="27"/>
        </w:rPr>
      </w:pPr>
      <w:r w:rsidRPr="00B8031C">
        <w:rPr>
          <w:rFonts w:ascii="微软雅黑" w:eastAsia="微软雅黑" w:hAnsi="微软雅黑" w:cs="宋体" w:hint="eastAsia"/>
          <w:b/>
          <w:bCs/>
          <w:color w:val="555555"/>
          <w:kern w:val="0"/>
          <w:sz w:val="27"/>
          <w:szCs w:val="27"/>
        </w:rPr>
        <w:t>2. 统一的服务安全能力</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关于统一的服务安全能力, 托管服务网格为多种不同计算基础设施上的应用服务提供统一的主子账户支持 / RAM 授权支持。在此基础上, 提供统一的 TLS 认证与 JWT 认证,  支持启用与禁用 TLS 认证的简易切换、支持以渐进方式逐步实现双向 TLS 认证; 支持以细粒度的认证范围, 包括 namespace 与 workload 级别。此外, 服务网格也提供对 JWT 认证能力的支持, 使得这种 TOKEN 认证机制不再依赖于某种特定实现框架就可以统一透出。</w:t>
      </w:r>
    </w:p>
    <w:p w:rsidR="00B8031C" w:rsidRPr="00B8031C" w:rsidRDefault="00B8031C" w:rsidP="00B8031C">
      <w:pPr>
        <w:widowControl/>
        <w:numPr>
          <w:ilvl w:val="0"/>
          <w:numId w:val="2"/>
        </w:numPr>
        <w:spacing w:before="100" w:beforeAutospacing="1" w:after="90"/>
        <w:ind w:left="75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在 RBAC 授权方面, 针对不同协议提供了统一的授权策略, 可以在不同粒度上支持, 包括 namespace / service / port 级别的授权；</w:t>
      </w:r>
    </w:p>
    <w:p w:rsidR="00B8031C" w:rsidRPr="00B8031C" w:rsidRDefault="00B8031C" w:rsidP="00B8031C">
      <w:pPr>
        <w:widowControl/>
        <w:numPr>
          <w:ilvl w:val="0"/>
          <w:numId w:val="2"/>
        </w:numPr>
        <w:spacing w:before="100" w:beforeAutospacing="1" w:after="90"/>
        <w:ind w:left="75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在审计方面, 可以灵活开启网格审计功能, 并可以查看审计报表、查看日志记录以及设置告警规则等；</w:t>
      </w:r>
    </w:p>
    <w:p w:rsidR="00B8031C" w:rsidRPr="00B8031C" w:rsidRDefault="00B8031C" w:rsidP="00B8031C">
      <w:pPr>
        <w:widowControl/>
        <w:numPr>
          <w:ilvl w:val="0"/>
          <w:numId w:val="2"/>
        </w:numPr>
        <w:spacing w:before="100" w:beforeAutospacing="1" w:after="90"/>
        <w:ind w:left="75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lastRenderedPageBreak/>
        <w:t xml:space="preserve">在策略管理方面，提供了开放策略代理（OPA）的集成, 用户可以使用描述性策略语言定义相应的安全策略。此外也提供了自定义授权服务 </w:t>
      </w:r>
      <w:proofErr w:type="spellStart"/>
      <w:r w:rsidRPr="00B8031C">
        <w:rPr>
          <w:rFonts w:ascii="微软雅黑" w:eastAsia="微软雅黑" w:hAnsi="微软雅黑" w:cs="宋体" w:hint="eastAsia"/>
          <w:color w:val="555555"/>
          <w:kern w:val="0"/>
          <w:sz w:val="23"/>
          <w:szCs w:val="23"/>
        </w:rPr>
        <w:t>external_auth</w:t>
      </w:r>
      <w:proofErr w:type="spellEnd"/>
      <w:r w:rsidRPr="00B8031C">
        <w:rPr>
          <w:rFonts w:ascii="微软雅黑" w:eastAsia="微软雅黑" w:hAnsi="微软雅黑" w:cs="宋体" w:hint="eastAsia"/>
          <w:color w:val="555555"/>
          <w:kern w:val="0"/>
          <w:sz w:val="23"/>
          <w:szCs w:val="23"/>
        </w:rPr>
        <w:t xml:space="preserve"> </w:t>
      </w:r>
      <w:proofErr w:type="spellStart"/>
      <w:r w:rsidRPr="00B8031C">
        <w:rPr>
          <w:rFonts w:ascii="微软雅黑" w:eastAsia="微软雅黑" w:hAnsi="微软雅黑" w:cs="宋体" w:hint="eastAsia"/>
          <w:color w:val="555555"/>
          <w:kern w:val="0"/>
          <w:sz w:val="23"/>
          <w:szCs w:val="23"/>
        </w:rPr>
        <w:t>grpc</w:t>
      </w:r>
      <w:proofErr w:type="spellEnd"/>
      <w:r w:rsidRPr="00B8031C">
        <w:rPr>
          <w:rFonts w:ascii="微软雅黑" w:eastAsia="微软雅黑" w:hAnsi="微软雅黑" w:cs="宋体" w:hint="eastAsia"/>
          <w:color w:val="555555"/>
          <w:kern w:val="0"/>
          <w:sz w:val="23"/>
          <w:szCs w:val="23"/>
        </w:rPr>
        <w:t xml:space="preserve"> 的对接。只要遵循这一接口定义, 任意授权服务都可以集成到服务网格中。</w:t>
      </w:r>
    </w:p>
    <w:p w:rsidR="00B8031C" w:rsidRPr="00B8031C" w:rsidRDefault="00B8031C" w:rsidP="00B8031C">
      <w:pPr>
        <w:widowControl/>
        <w:pBdr>
          <w:bottom w:val="single" w:sz="6" w:space="8" w:color="EAEAEA"/>
        </w:pBdr>
        <w:spacing w:before="270" w:after="270"/>
        <w:jc w:val="left"/>
        <w:outlineLvl w:val="1"/>
        <w:rPr>
          <w:rFonts w:ascii="微软雅黑" w:eastAsia="微软雅黑" w:hAnsi="微软雅黑" w:cs="宋体" w:hint="eastAsia"/>
          <w:b/>
          <w:bCs/>
          <w:color w:val="555555"/>
          <w:kern w:val="0"/>
          <w:sz w:val="27"/>
          <w:szCs w:val="27"/>
        </w:rPr>
      </w:pPr>
      <w:r w:rsidRPr="00B8031C">
        <w:rPr>
          <w:rFonts w:ascii="微软雅黑" w:eastAsia="微软雅黑" w:hAnsi="微软雅黑" w:cs="宋体" w:hint="eastAsia"/>
          <w:b/>
          <w:bCs/>
          <w:color w:val="555555"/>
          <w:kern w:val="0"/>
          <w:sz w:val="27"/>
          <w:szCs w:val="27"/>
        </w:rPr>
        <w:t>3. 统一的服务可观测性</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统一的服务可观测性, 分为 3 个方面。</w:t>
      </w:r>
    </w:p>
    <w:p w:rsidR="00B8031C" w:rsidRPr="00B8031C" w:rsidRDefault="00B8031C" w:rsidP="00B8031C">
      <w:pPr>
        <w:widowControl/>
        <w:numPr>
          <w:ilvl w:val="0"/>
          <w:numId w:val="3"/>
        </w:numPr>
        <w:spacing w:before="100" w:beforeAutospacing="1" w:after="90"/>
        <w:ind w:left="75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b/>
          <w:bCs/>
          <w:color w:val="555555"/>
          <w:kern w:val="0"/>
          <w:sz w:val="23"/>
          <w:szCs w:val="23"/>
        </w:rPr>
        <w:t>一是日志分析能力</w:t>
      </w:r>
      <w:r w:rsidRPr="00B8031C">
        <w:rPr>
          <w:rFonts w:ascii="微软雅黑" w:eastAsia="微软雅黑" w:hAnsi="微软雅黑" w:cs="宋体" w:hint="eastAsia"/>
          <w:color w:val="555555"/>
          <w:kern w:val="0"/>
          <w:sz w:val="23"/>
          <w:szCs w:val="23"/>
        </w:rPr>
        <w:t xml:space="preserve">：通过对数据平面的 </w:t>
      </w:r>
      <w:proofErr w:type="spellStart"/>
      <w:r w:rsidRPr="00B8031C">
        <w:rPr>
          <w:rFonts w:ascii="微软雅黑" w:eastAsia="微软雅黑" w:hAnsi="微软雅黑" w:cs="宋体" w:hint="eastAsia"/>
          <w:color w:val="555555"/>
          <w:kern w:val="0"/>
          <w:sz w:val="23"/>
          <w:szCs w:val="23"/>
        </w:rPr>
        <w:t>AccessLog</w:t>
      </w:r>
      <w:proofErr w:type="spellEnd"/>
      <w:r w:rsidRPr="00B8031C">
        <w:rPr>
          <w:rFonts w:ascii="微软雅黑" w:eastAsia="微软雅黑" w:hAnsi="微软雅黑" w:cs="宋体" w:hint="eastAsia"/>
          <w:color w:val="555555"/>
          <w:kern w:val="0"/>
          <w:sz w:val="23"/>
          <w:szCs w:val="23"/>
        </w:rPr>
        <w:t xml:space="preserve"> 采集分析, 特别是对入口网关日志的分析, 可以分析出服务请求的流量情况、状态码比例等, 从而可以进一步优化这些服务间的调用；</w:t>
      </w:r>
    </w:p>
    <w:p w:rsidR="00B8031C" w:rsidRPr="00B8031C" w:rsidRDefault="00B8031C" w:rsidP="00B8031C">
      <w:pPr>
        <w:widowControl/>
        <w:numPr>
          <w:ilvl w:val="0"/>
          <w:numId w:val="3"/>
        </w:numPr>
        <w:spacing w:before="100" w:beforeAutospacing="1" w:after="90"/>
        <w:ind w:left="75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b/>
          <w:bCs/>
          <w:color w:val="555555"/>
          <w:kern w:val="0"/>
          <w:sz w:val="23"/>
          <w:szCs w:val="23"/>
        </w:rPr>
        <w:t>二是分布式追踪能力</w:t>
      </w:r>
      <w:r w:rsidRPr="00B8031C">
        <w:rPr>
          <w:rFonts w:ascii="微软雅黑" w:eastAsia="微软雅黑" w:hAnsi="微软雅黑" w:cs="宋体" w:hint="eastAsia"/>
          <w:color w:val="555555"/>
          <w:kern w:val="0"/>
          <w:sz w:val="23"/>
          <w:szCs w:val="23"/>
        </w:rPr>
        <w:t>：为分布式应用的开发者提供了完整的调用链路还原、调用请求量统计、链路拓扑、应用依赖分析等工具，可以帮助开发者快速分析和诊断分布式应用架构下的性能瓶颈，提高微服务时代下的开发诊断效率；</w:t>
      </w:r>
    </w:p>
    <w:p w:rsidR="00B8031C" w:rsidRPr="00B8031C" w:rsidRDefault="00B8031C" w:rsidP="00B8031C">
      <w:pPr>
        <w:widowControl/>
        <w:numPr>
          <w:ilvl w:val="0"/>
          <w:numId w:val="3"/>
        </w:numPr>
        <w:spacing w:before="100" w:beforeAutospacing="1" w:after="90"/>
        <w:ind w:left="75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b/>
          <w:bCs/>
          <w:color w:val="555555"/>
          <w:kern w:val="0"/>
          <w:sz w:val="23"/>
          <w:szCs w:val="23"/>
        </w:rPr>
        <w:t>三是监控能力</w:t>
      </w:r>
      <w:r w:rsidRPr="00B8031C">
        <w:rPr>
          <w:rFonts w:ascii="微软雅黑" w:eastAsia="微软雅黑" w:hAnsi="微软雅黑" w:cs="宋体" w:hint="eastAsia"/>
          <w:color w:val="555555"/>
          <w:kern w:val="0"/>
          <w:sz w:val="23"/>
          <w:szCs w:val="23"/>
        </w:rPr>
        <w:t>：根据监视的四个维度（延迟，流量，错误和饱和度）生成一组服务指标, 来了解、监视网格中服务的行为。</w:t>
      </w:r>
    </w:p>
    <w:p w:rsidR="00B8031C" w:rsidRPr="00B8031C" w:rsidRDefault="00B8031C" w:rsidP="00B8031C">
      <w:pPr>
        <w:widowControl/>
        <w:pBdr>
          <w:bottom w:val="single" w:sz="6" w:space="8" w:color="EAEAEA"/>
        </w:pBdr>
        <w:spacing w:before="270" w:after="270"/>
        <w:jc w:val="left"/>
        <w:outlineLvl w:val="1"/>
        <w:rPr>
          <w:rFonts w:ascii="微软雅黑" w:eastAsia="微软雅黑" w:hAnsi="微软雅黑" w:cs="宋体" w:hint="eastAsia"/>
          <w:b/>
          <w:bCs/>
          <w:color w:val="555555"/>
          <w:kern w:val="0"/>
          <w:sz w:val="27"/>
          <w:szCs w:val="27"/>
        </w:rPr>
      </w:pPr>
      <w:r w:rsidRPr="00B8031C">
        <w:rPr>
          <w:rFonts w:ascii="微软雅黑" w:eastAsia="微软雅黑" w:hAnsi="微软雅黑" w:cs="宋体" w:hint="eastAsia"/>
          <w:b/>
          <w:bCs/>
          <w:color w:val="555555"/>
          <w:kern w:val="0"/>
          <w:sz w:val="27"/>
          <w:szCs w:val="27"/>
        </w:rPr>
        <w:t>4. 统一的数据面可扩展能力</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尽管 sidecar 代理已经把服务治理过程中常用的一些功能进行了封装实现，但它的可扩展能力一定是必须具备的，譬如如何与已有的后端系统做对接，如何解决用</w:t>
      </w:r>
      <w:r w:rsidRPr="00B8031C">
        <w:rPr>
          <w:rFonts w:ascii="微软雅黑" w:eastAsia="微软雅黑" w:hAnsi="微软雅黑" w:cs="宋体" w:hint="eastAsia"/>
          <w:color w:val="555555"/>
          <w:kern w:val="0"/>
          <w:sz w:val="23"/>
          <w:szCs w:val="23"/>
        </w:rPr>
        <w:lastRenderedPageBreak/>
        <w:t>户的一些特定需求。这个时候，一个 Sidecar 代理的可扩展性显得尤为重要，而且在一定程度上会影响 Sidecar 代理的普及。</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 xml:space="preserve">在 </w:t>
      </w:r>
      <w:proofErr w:type="spellStart"/>
      <w:r w:rsidRPr="00B8031C">
        <w:rPr>
          <w:rFonts w:ascii="微软雅黑" w:eastAsia="微软雅黑" w:hAnsi="微软雅黑" w:cs="宋体" w:hint="eastAsia"/>
          <w:color w:val="555555"/>
          <w:kern w:val="0"/>
          <w:sz w:val="23"/>
          <w:szCs w:val="23"/>
        </w:rPr>
        <w:t>Istio</w:t>
      </w:r>
      <w:proofErr w:type="spellEnd"/>
      <w:r w:rsidRPr="00B8031C">
        <w:rPr>
          <w:rFonts w:ascii="微软雅黑" w:eastAsia="微软雅黑" w:hAnsi="微软雅黑" w:cs="宋体" w:hint="eastAsia"/>
          <w:color w:val="555555"/>
          <w:kern w:val="0"/>
          <w:sz w:val="23"/>
          <w:szCs w:val="23"/>
        </w:rPr>
        <w:t xml:space="preserve"> 之前的架构中，对 Sidecar 能力的扩展主要集中在 Mixer 组件上。Sidecar 代理的每个服务到服务连接都需要连接到 Mixer，以进行指标报告和授权检查，这样会导致服务之间的调用延迟更长，伸缩性也变差。同时，Envoy 要求使用代理程序的编程语言 C++ 编写，然后编译为代理二进制文件。对于大多 </w:t>
      </w:r>
      <w:proofErr w:type="spellStart"/>
      <w:r w:rsidRPr="00B8031C">
        <w:rPr>
          <w:rFonts w:ascii="微软雅黑" w:eastAsia="微软雅黑" w:hAnsi="微软雅黑" w:cs="宋体" w:hint="eastAsia"/>
          <w:color w:val="555555"/>
          <w:kern w:val="0"/>
          <w:sz w:val="23"/>
          <w:szCs w:val="23"/>
        </w:rPr>
        <w:t>Istio</w:t>
      </w:r>
      <w:proofErr w:type="spellEnd"/>
      <w:r w:rsidRPr="00B8031C">
        <w:rPr>
          <w:rFonts w:ascii="微软雅黑" w:eastAsia="微软雅黑" w:hAnsi="微软雅黑" w:cs="宋体" w:hint="eastAsia"/>
          <w:color w:val="555555"/>
          <w:kern w:val="0"/>
          <w:sz w:val="23"/>
          <w:szCs w:val="23"/>
        </w:rPr>
        <w:t xml:space="preserve"> 用户而言，这种扩展能力具有一定的挑战性。</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而在采用了新架构之后，</w:t>
      </w:r>
      <w:proofErr w:type="spellStart"/>
      <w:r w:rsidRPr="00B8031C">
        <w:rPr>
          <w:rFonts w:ascii="微软雅黑" w:eastAsia="微软雅黑" w:hAnsi="微软雅黑" w:cs="宋体" w:hint="eastAsia"/>
          <w:color w:val="555555"/>
          <w:kern w:val="0"/>
          <w:sz w:val="23"/>
          <w:szCs w:val="23"/>
        </w:rPr>
        <w:t>Istio</w:t>
      </w:r>
      <w:proofErr w:type="spellEnd"/>
      <w:r w:rsidRPr="00B8031C">
        <w:rPr>
          <w:rFonts w:ascii="微软雅黑" w:eastAsia="微软雅黑" w:hAnsi="微软雅黑" w:cs="宋体" w:hint="eastAsia"/>
          <w:color w:val="555555"/>
          <w:kern w:val="0"/>
          <w:sz w:val="23"/>
          <w:szCs w:val="23"/>
        </w:rPr>
        <w:t xml:space="preserve"> 把代理的扩展能力从 Mixer 下移到了数据平面的 Envoy 本身中, 并且使用 </w:t>
      </w:r>
      <w:proofErr w:type="spellStart"/>
      <w:r w:rsidRPr="00B8031C">
        <w:rPr>
          <w:rFonts w:ascii="微软雅黑" w:eastAsia="微软雅黑" w:hAnsi="微软雅黑" w:cs="宋体" w:hint="eastAsia"/>
          <w:color w:val="555555"/>
          <w:kern w:val="0"/>
          <w:sz w:val="23"/>
          <w:szCs w:val="23"/>
        </w:rPr>
        <w:t>WebAssembly</w:t>
      </w:r>
      <w:proofErr w:type="spellEnd"/>
      <w:r w:rsidRPr="00B8031C">
        <w:rPr>
          <w:rFonts w:ascii="微软雅黑" w:eastAsia="微软雅黑" w:hAnsi="微软雅黑" w:cs="宋体" w:hint="eastAsia"/>
          <w:color w:val="555555"/>
          <w:kern w:val="0"/>
          <w:sz w:val="23"/>
          <w:szCs w:val="23"/>
        </w:rPr>
        <w:t xml:space="preserve"> 技术将其扩展模型与 Envoy 进行了合并。</w:t>
      </w:r>
      <w:proofErr w:type="spellStart"/>
      <w:r w:rsidRPr="00B8031C">
        <w:rPr>
          <w:rFonts w:ascii="微软雅黑" w:eastAsia="微软雅黑" w:hAnsi="微软雅黑" w:cs="宋体" w:hint="eastAsia"/>
          <w:color w:val="555555"/>
          <w:kern w:val="0"/>
          <w:sz w:val="23"/>
          <w:szCs w:val="23"/>
        </w:rPr>
        <w:t>WebAssembly</w:t>
      </w:r>
      <w:proofErr w:type="spellEnd"/>
      <w:r w:rsidRPr="00B8031C">
        <w:rPr>
          <w:rFonts w:ascii="微软雅黑" w:eastAsia="微软雅黑" w:hAnsi="微软雅黑" w:cs="宋体" w:hint="eastAsia"/>
          <w:color w:val="555555"/>
          <w:kern w:val="0"/>
          <w:sz w:val="23"/>
          <w:szCs w:val="23"/>
        </w:rPr>
        <w:t xml:space="preserve"> 支持几种不同语言的开发，然后将扩展编译为可移植字节码格式。这种扩展方式既简化了向 </w:t>
      </w:r>
      <w:proofErr w:type="spellStart"/>
      <w:r w:rsidRPr="00B8031C">
        <w:rPr>
          <w:rFonts w:ascii="微软雅黑" w:eastAsia="微软雅黑" w:hAnsi="微软雅黑" w:cs="宋体" w:hint="eastAsia"/>
          <w:color w:val="555555"/>
          <w:kern w:val="0"/>
          <w:sz w:val="23"/>
          <w:szCs w:val="23"/>
        </w:rPr>
        <w:t>Istio</w:t>
      </w:r>
      <w:proofErr w:type="spellEnd"/>
      <w:r w:rsidRPr="00B8031C">
        <w:rPr>
          <w:rFonts w:ascii="微软雅黑" w:eastAsia="微软雅黑" w:hAnsi="微软雅黑" w:cs="宋体" w:hint="eastAsia"/>
          <w:color w:val="555555"/>
          <w:kern w:val="0"/>
          <w:sz w:val="23"/>
          <w:szCs w:val="23"/>
        </w:rPr>
        <w:t xml:space="preserve"> 添加自定义功能的过程，又通过将决策过程转移到代理中而不是将其种植到 Mixer 上来减少了延迟。使用 </w:t>
      </w:r>
      <w:proofErr w:type="spellStart"/>
      <w:r w:rsidRPr="00B8031C">
        <w:rPr>
          <w:rFonts w:ascii="微软雅黑" w:eastAsia="微软雅黑" w:hAnsi="微软雅黑" w:cs="宋体" w:hint="eastAsia"/>
          <w:color w:val="555555"/>
          <w:kern w:val="0"/>
          <w:sz w:val="23"/>
          <w:szCs w:val="23"/>
        </w:rPr>
        <w:t>WebAssembly</w:t>
      </w:r>
      <w:proofErr w:type="spellEnd"/>
      <w:r w:rsidRPr="00B8031C">
        <w:rPr>
          <w:rFonts w:ascii="微软雅黑" w:eastAsia="微软雅黑" w:hAnsi="微软雅黑" w:cs="宋体" w:hint="eastAsia"/>
          <w:color w:val="555555"/>
          <w:kern w:val="0"/>
          <w:sz w:val="23"/>
          <w:szCs w:val="23"/>
        </w:rPr>
        <w:t>（WASM）实现过滤器 Filter 的扩展, 可以获得以下好处：</w:t>
      </w:r>
    </w:p>
    <w:p w:rsidR="00B8031C" w:rsidRPr="00B8031C" w:rsidRDefault="00B8031C" w:rsidP="00B8031C">
      <w:pPr>
        <w:widowControl/>
        <w:numPr>
          <w:ilvl w:val="0"/>
          <w:numId w:val="4"/>
        </w:numPr>
        <w:spacing w:before="100" w:beforeAutospacing="1" w:after="90"/>
        <w:ind w:left="75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敏捷性：过滤器 Filter 可以动态加载到正在运行的 Envoy 进程中，而无需停止或重新编译；</w:t>
      </w:r>
    </w:p>
    <w:p w:rsidR="00B8031C" w:rsidRPr="00B8031C" w:rsidRDefault="00B8031C" w:rsidP="00B8031C">
      <w:pPr>
        <w:widowControl/>
        <w:numPr>
          <w:ilvl w:val="0"/>
          <w:numId w:val="4"/>
        </w:numPr>
        <w:spacing w:before="100" w:beforeAutospacing="1" w:after="90"/>
        <w:ind w:left="75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可维护性：不必更改 Envoy 自身基础代码库即可扩展其功能；</w:t>
      </w:r>
    </w:p>
    <w:p w:rsidR="00B8031C" w:rsidRPr="00B8031C" w:rsidRDefault="00B8031C" w:rsidP="00B8031C">
      <w:pPr>
        <w:widowControl/>
        <w:numPr>
          <w:ilvl w:val="0"/>
          <w:numId w:val="4"/>
        </w:numPr>
        <w:spacing w:before="100" w:beforeAutospacing="1" w:after="90"/>
        <w:ind w:left="75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多样性：可以将流行的编程语言（例如 C / C ++ 和 Rust）编译为 WASM，因此开发人员可以使用他们选择的编程语言来实现过滤器 Filter；</w:t>
      </w:r>
    </w:p>
    <w:p w:rsidR="00B8031C" w:rsidRPr="00B8031C" w:rsidRDefault="00B8031C" w:rsidP="00B8031C">
      <w:pPr>
        <w:widowControl/>
        <w:numPr>
          <w:ilvl w:val="0"/>
          <w:numId w:val="4"/>
        </w:numPr>
        <w:spacing w:before="100" w:beforeAutospacing="1" w:after="90"/>
        <w:ind w:left="75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lastRenderedPageBreak/>
        <w:t>可靠性和隔离性：过滤器 Filter 会被部署到 VM 沙箱中，因此与 Envoy 进程本身是隔离的；即使当 WASM Filter 出现问题导致崩溃时，它也不会影响 Envoy 进程；</w:t>
      </w:r>
    </w:p>
    <w:p w:rsidR="00B8031C" w:rsidRPr="00B8031C" w:rsidRDefault="00B8031C" w:rsidP="00B8031C">
      <w:pPr>
        <w:widowControl/>
        <w:numPr>
          <w:ilvl w:val="0"/>
          <w:numId w:val="4"/>
        </w:numPr>
        <w:spacing w:before="100" w:beforeAutospacing="1" w:after="90"/>
        <w:ind w:left="75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安全性：过滤器 Filter 通过预定义 API 与 Envoy 代理进行通信，因此它们可以访问并只能修改有限数量的连接或请求属性。</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 xml:space="preserve">阿里云服务网格 ASM 产品中提供了对 </w:t>
      </w:r>
      <w:proofErr w:type="spellStart"/>
      <w:r w:rsidRPr="00B8031C">
        <w:rPr>
          <w:rFonts w:ascii="微软雅黑" w:eastAsia="微软雅黑" w:hAnsi="微软雅黑" w:cs="宋体" w:hint="eastAsia"/>
          <w:color w:val="555555"/>
          <w:kern w:val="0"/>
          <w:sz w:val="23"/>
          <w:szCs w:val="23"/>
        </w:rPr>
        <w:t>WebAssembly</w:t>
      </w:r>
      <w:proofErr w:type="spellEnd"/>
      <w:r w:rsidRPr="00B8031C">
        <w:rPr>
          <w:rFonts w:ascii="微软雅黑" w:eastAsia="微软雅黑" w:hAnsi="微软雅黑" w:cs="宋体" w:hint="eastAsia"/>
          <w:color w:val="555555"/>
          <w:kern w:val="0"/>
          <w:sz w:val="23"/>
          <w:szCs w:val="23"/>
        </w:rPr>
        <w:t xml:space="preserve">（WASM）技术的支持，服务网格使用人员可以把扩展的 WASM Filter 通过 ASM 部署到数据面集群中相应的 Envoy 代理中。通过自研的 </w:t>
      </w:r>
      <w:proofErr w:type="spellStart"/>
      <w:r w:rsidRPr="00B8031C">
        <w:rPr>
          <w:rFonts w:ascii="微软雅黑" w:eastAsia="微软雅黑" w:hAnsi="微软雅黑" w:cs="宋体" w:hint="eastAsia"/>
          <w:color w:val="555555"/>
          <w:kern w:val="0"/>
          <w:sz w:val="23"/>
          <w:szCs w:val="23"/>
        </w:rPr>
        <w:t>ASMFilterDeployment</w:t>
      </w:r>
      <w:proofErr w:type="spellEnd"/>
      <w:r w:rsidRPr="00B8031C">
        <w:rPr>
          <w:rFonts w:ascii="微软雅黑" w:eastAsia="微软雅黑" w:hAnsi="微软雅黑" w:cs="宋体" w:hint="eastAsia"/>
          <w:color w:val="555555"/>
          <w:kern w:val="0"/>
          <w:sz w:val="23"/>
          <w:szCs w:val="23"/>
        </w:rPr>
        <w:t xml:space="preserve"> 组件,  可以支持动态加载插件、简单易用、以及支持热更新等能力。</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color w:val="555555"/>
          <w:kern w:val="0"/>
          <w:sz w:val="23"/>
          <w:szCs w:val="23"/>
        </w:rPr>
        <w:fldChar w:fldCharType="begin"/>
      </w:r>
      <w:r w:rsidRPr="00B8031C">
        <w:rPr>
          <w:rFonts w:ascii="微软雅黑" w:eastAsia="微软雅黑" w:hAnsi="微软雅黑" w:cs="宋体"/>
          <w:color w:val="555555"/>
          <w:kern w:val="0"/>
          <w:sz w:val="23"/>
          <w:szCs w:val="23"/>
        </w:rPr>
        <w:instrText xml:space="preserve"> INCLUDEPICTURE "/var/folders/p8/3rv2l4_x7_13f2gjv64zllt00000gn/T/com.microsoft.Word/WebArchiveCopyPasteTempFiles/a20387f08fd64a778f3d54542079b1c3.png" \* MERGEFORMATINET </w:instrText>
      </w:r>
      <w:r w:rsidRPr="00B8031C">
        <w:rPr>
          <w:rFonts w:ascii="微软雅黑" w:eastAsia="微软雅黑" w:hAnsi="微软雅黑" w:cs="宋体"/>
          <w:color w:val="555555"/>
          <w:kern w:val="0"/>
          <w:sz w:val="23"/>
          <w:szCs w:val="23"/>
        </w:rPr>
        <w:fldChar w:fldCharType="separate"/>
      </w:r>
      <w:r w:rsidRPr="00B8031C">
        <w:rPr>
          <w:rFonts w:ascii="微软雅黑" w:eastAsia="微软雅黑" w:hAnsi="微软雅黑" w:cs="宋体"/>
          <w:noProof/>
          <w:color w:val="555555"/>
          <w:kern w:val="0"/>
          <w:sz w:val="23"/>
          <w:szCs w:val="23"/>
        </w:rPr>
        <w:drawing>
          <wp:inline distT="0" distB="0" distL="0" distR="0">
            <wp:extent cx="5270500" cy="24625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462530"/>
                    </a:xfrm>
                    <a:prstGeom prst="rect">
                      <a:avLst/>
                    </a:prstGeom>
                    <a:noFill/>
                    <a:ln>
                      <a:noFill/>
                    </a:ln>
                  </pic:spPr>
                </pic:pic>
              </a:graphicData>
            </a:graphic>
          </wp:inline>
        </w:drawing>
      </w:r>
      <w:r w:rsidRPr="00B8031C">
        <w:rPr>
          <w:rFonts w:ascii="微软雅黑" w:eastAsia="微软雅黑" w:hAnsi="微软雅黑" w:cs="宋体"/>
          <w:color w:val="555555"/>
          <w:kern w:val="0"/>
          <w:sz w:val="23"/>
          <w:szCs w:val="23"/>
        </w:rPr>
        <w:fldChar w:fldCharType="end"/>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通过这种过滤器扩展机制，可以轻松扩展 Envoy 的功能并将其在服务网格中的应用推向了新的高度。</w:t>
      </w:r>
    </w:p>
    <w:p w:rsidR="00B8031C" w:rsidRPr="00B8031C" w:rsidRDefault="00B8031C" w:rsidP="00B8031C">
      <w:pPr>
        <w:widowControl/>
        <w:spacing w:before="300" w:after="150"/>
        <w:jc w:val="left"/>
        <w:outlineLvl w:val="0"/>
        <w:rPr>
          <w:rFonts w:ascii="微软雅黑" w:eastAsia="微软雅黑" w:hAnsi="微软雅黑" w:cs="宋体" w:hint="eastAsia"/>
          <w:color w:val="555555"/>
          <w:kern w:val="36"/>
          <w:sz w:val="54"/>
          <w:szCs w:val="54"/>
        </w:rPr>
      </w:pPr>
      <w:r w:rsidRPr="00B8031C">
        <w:rPr>
          <w:rFonts w:ascii="微软雅黑" w:eastAsia="微软雅黑" w:hAnsi="微软雅黑" w:cs="宋体" w:hint="eastAsia"/>
          <w:color w:val="555555"/>
          <w:kern w:val="36"/>
          <w:sz w:val="54"/>
          <w:szCs w:val="54"/>
        </w:rPr>
        <w:t>服务网格实践之成熟度模型</w:t>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color w:val="555555"/>
          <w:kern w:val="0"/>
          <w:sz w:val="23"/>
          <w:szCs w:val="23"/>
        </w:rPr>
        <w:lastRenderedPageBreak/>
        <w:fldChar w:fldCharType="begin"/>
      </w:r>
      <w:r w:rsidRPr="00B8031C">
        <w:rPr>
          <w:rFonts w:ascii="微软雅黑" w:eastAsia="微软雅黑" w:hAnsi="微软雅黑" w:cs="宋体"/>
          <w:color w:val="555555"/>
          <w:kern w:val="0"/>
          <w:sz w:val="23"/>
          <w:szCs w:val="23"/>
        </w:rPr>
        <w:instrText xml:space="preserve"> INCLUDEPICTURE "/var/folders/p8/3rv2l4_x7_13f2gjv64zllt00000gn/T/com.microsoft.Word/WebArchiveCopyPasteTempFiles/fde97406195c4f9aa2b8185955272e15.png" \* MERGEFORMATINET </w:instrText>
      </w:r>
      <w:r w:rsidRPr="00B8031C">
        <w:rPr>
          <w:rFonts w:ascii="微软雅黑" w:eastAsia="微软雅黑" w:hAnsi="微软雅黑" w:cs="宋体"/>
          <w:color w:val="555555"/>
          <w:kern w:val="0"/>
          <w:sz w:val="23"/>
          <w:szCs w:val="23"/>
        </w:rPr>
        <w:fldChar w:fldCharType="separate"/>
      </w:r>
      <w:r w:rsidRPr="00B8031C">
        <w:rPr>
          <w:rFonts w:ascii="微软雅黑" w:eastAsia="微软雅黑" w:hAnsi="微软雅黑" w:cs="宋体"/>
          <w:noProof/>
          <w:color w:val="555555"/>
          <w:kern w:val="0"/>
          <w:sz w:val="23"/>
          <w:szCs w:val="23"/>
        </w:rPr>
        <w:drawing>
          <wp:inline distT="0" distB="0" distL="0" distR="0">
            <wp:extent cx="5270500" cy="154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1549400"/>
                    </a:xfrm>
                    <a:prstGeom prst="rect">
                      <a:avLst/>
                    </a:prstGeom>
                    <a:noFill/>
                    <a:ln>
                      <a:noFill/>
                    </a:ln>
                  </pic:spPr>
                </pic:pic>
              </a:graphicData>
            </a:graphic>
          </wp:inline>
        </w:drawing>
      </w:r>
      <w:r w:rsidRPr="00B8031C">
        <w:rPr>
          <w:rFonts w:ascii="微软雅黑" w:eastAsia="微软雅黑" w:hAnsi="微软雅黑" w:cs="宋体"/>
          <w:color w:val="555555"/>
          <w:kern w:val="0"/>
          <w:sz w:val="23"/>
          <w:szCs w:val="23"/>
        </w:rPr>
        <w:fldChar w:fldCharType="end"/>
      </w:r>
    </w:p>
    <w:p w:rsidR="00B8031C" w:rsidRPr="00B8031C" w:rsidRDefault="00B8031C" w:rsidP="00B8031C">
      <w:pPr>
        <w:widowControl/>
        <w:spacing w:after="270"/>
        <w:jc w:val="left"/>
        <w:rPr>
          <w:rFonts w:ascii="微软雅黑" w:eastAsia="微软雅黑" w:hAnsi="微软雅黑" w:cs="宋体" w:hint="eastAsia"/>
          <w:color w:val="555555"/>
          <w:kern w:val="0"/>
          <w:sz w:val="23"/>
          <w:szCs w:val="23"/>
        </w:rPr>
      </w:pPr>
      <w:r w:rsidRPr="00B8031C">
        <w:rPr>
          <w:rFonts w:ascii="微软雅黑" w:eastAsia="微软雅黑" w:hAnsi="微软雅黑" w:cs="宋体" w:hint="eastAsia"/>
          <w:color w:val="555555"/>
          <w:kern w:val="0"/>
          <w:sz w:val="23"/>
          <w:szCs w:val="23"/>
        </w:rPr>
        <w:t>服务网格作为应用服务通信的统一基础设施,  可以（并且应该）逐步采用。在此, 我们推出了它的实践之成熟度模型, 分为了 5 个层次, 分别为</w:t>
      </w:r>
      <w:r w:rsidRPr="00B8031C">
        <w:rPr>
          <w:rFonts w:ascii="微软雅黑" w:eastAsia="微软雅黑" w:hAnsi="微软雅黑" w:cs="宋体" w:hint="eastAsia"/>
          <w:b/>
          <w:bCs/>
          <w:color w:val="555555"/>
          <w:kern w:val="0"/>
          <w:sz w:val="23"/>
          <w:szCs w:val="23"/>
        </w:rPr>
        <w:t>一键启用</w:t>
      </w:r>
      <w:r w:rsidRPr="00B8031C">
        <w:rPr>
          <w:rFonts w:ascii="微软雅黑" w:eastAsia="微软雅黑" w:hAnsi="微软雅黑" w:cs="宋体" w:hint="eastAsia"/>
          <w:color w:val="555555"/>
          <w:kern w:val="0"/>
          <w:sz w:val="23"/>
          <w:szCs w:val="23"/>
        </w:rPr>
        <w:t>、</w:t>
      </w:r>
      <w:r w:rsidRPr="00B8031C">
        <w:rPr>
          <w:rFonts w:ascii="微软雅黑" w:eastAsia="微软雅黑" w:hAnsi="微软雅黑" w:cs="宋体" w:hint="eastAsia"/>
          <w:b/>
          <w:bCs/>
          <w:color w:val="555555"/>
          <w:kern w:val="0"/>
          <w:sz w:val="23"/>
          <w:szCs w:val="23"/>
        </w:rPr>
        <w:t>可观测提升</w:t>
      </w:r>
      <w:r w:rsidRPr="00B8031C">
        <w:rPr>
          <w:rFonts w:ascii="微软雅黑" w:eastAsia="微软雅黑" w:hAnsi="微软雅黑" w:cs="宋体" w:hint="eastAsia"/>
          <w:color w:val="555555"/>
          <w:kern w:val="0"/>
          <w:sz w:val="23"/>
          <w:szCs w:val="23"/>
        </w:rPr>
        <w:t>、</w:t>
      </w:r>
      <w:r w:rsidRPr="00B8031C">
        <w:rPr>
          <w:rFonts w:ascii="微软雅黑" w:eastAsia="微软雅黑" w:hAnsi="微软雅黑" w:cs="宋体" w:hint="eastAsia"/>
          <w:b/>
          <w:bCs/>
          <w:color w:val="555555"/>
          <w:kern w:val="0"/>
          <w:sz w:val="23"/>
          <w:szCs w:val="23"/>
        </w:rPr>
        <w:t>安全加固</w:t>
      </w:r>
      <w:r w:rsidRPr="00B8031C">
        <w:rPr>
          <w:rFonts w:ascii="微软雅黑" w:eastAsia="微软雅黑" w:hAnsi="微软雅黑" w:cs="宋体" w:hint="eastAsia"/>
          <w:color w:val="555555"/>
          <w:kern w:val="0"/>
          <w:sz w:val="23"/>
          <w:szCs w:val="23"/>
        </w:rPr>
        <w:t>、</w:t>
      </w:r>
      <w:r w:rsidRPr="00B8031C">
        <w:rPr>
          <w:rFonts w:ascii="微软雅黑" w:eastAsia="微软雅黑" w:hAnsi="微软雅黑" w:cs="宋体" w:hint="eastAsia"/>
          <w:b/>
          <w:bCs/>
          <w:color w:val="555555"/>
          <w:kern w:val="0"/>
          <w:sz w:val="23"/>
          <w:szCs w:val="23"/>
        </w:rPr>
        <w:t>多种基础设施的支持</w:t>
      </w:r>
      <w:r w:rsidRPr="00B8031C">
        <w:rPr>
          <w:rFonts w:ascii="微软雅黑" w:eastAsia="微软雅黑" w:hAnsi="微软雅黑" w:cs="宋体" w:hint="eastAsia"/>
          <w:color w:val="555555"/>
          <w:kern w:val="0"/>
          <w:sz w:val="23"/>
          <w:szCs w:val="23"/>
        </w:rPr>
        <w:t>, 以及</w:t>
      </w:r>
      <w:r w:rsidRPr="00B8031C">
        <w:rPr>
          <w:rFonts w:ascii="微软雅黑" w:eastAsia="微软雅黑" w:hAnsi="微软雅黑" w:cs="宋体" w:hint="eastAsia"/>
          <w:b/>
          <w:bCs/>
          <w:color w:val="555555"/>
          <w:kern w:val="0"/>
          <w:sz w:val="23"/>
          <w:szCs w:val="23"/>
        </w:rPr>
        <w:t>多集群混合管理</w:t>
      </w:r>
      <w:r w:rsidRPr="00B8031C">
        <w:rPr>
          <w:rFonts w:ascii="微软雅黑" w:eastAsia="微软雅黑" w:hAnsi="微软雅黑" w:cs="宋体" w:hint="eastAsia"/>
          <w:color w:val="555555"/>
          <w:kern w:val="0"/>
          <w:sz w:val="23"/>
          <w:szCs w:val="23"/>
        </w:rPr>
        <w:t>。这 5 个方面分别涵盖了前面讲述的统一流量管理、统一可观测性、统一服务安全以及支持不同的计算基础设施和多集群非容器化应用的混合管理。</w:t>
      </w:r>
    </w:p>
    <w:p w:rsidR="00B8031C" w:rsidRPr="00B8031C" w:rsidRDefault="00B8031C" w:rsidP="00B8031C">
      <w:pPr>
        <w:widowControl/>
        <w:jc w:val="left"/>
        <w:rPr>
          <w:rFonts w:ascii="宋体" w:eastAsia="宋体" w:hAnsi="宋体" w:cs="宋体" w:hint="eastAsia"/>
          <w:kern w:val="0"/>
          <w:sz w:val="24"/>
        </w:rPr>
      </w:pPr>
    </w:p>
    <w:p w:rsidR="00674D72" w:rsidRPr="00B8031C" w:rsidRDefault="00674D72"/>
    <w:sectPr w:rsidR="00674D72" w:rsidRPr="00B8031C"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23AF4"/>
    <w:multiLevelType w:val="multilevel"/>
    <w:tmpl w:val="BEFE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F40B29"/>
    <w:multiLevelType w:val="multilevel"/>
    <w:tmpl w:val="C0F0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E67485"/>
    <w:multiLevelType w:val="multilevel"/>
    <w:tmpl w:val="C3E2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3654F2"/>
    <w:multiLevelType w:val="multilevel"/>
    <w:tmpl w:val="1F0E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1C"/>
    <w:rsid w:val="00674D72"/>
    <w:rsid w:val="00B8031C"/>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5B147B"/>
  <w15:chartTrackingRefBased/>
  <w15:docId w15:val="{DB2B8E5E-BD26-E940-8DEE-FFF3C65E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803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8031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031C"/>
    <w:rPr>
      <w:rFonts w:ascii="宋体" w:eastAsia="宋体" w:hAnsi="宋体" w:cs="宋体"/>
      <w:b/>
      <w:bCs/>
      <w:kern w:val="36"/>
      <w:sz w:val="48"/>
      <w:szCs w:val="48"/>
    </w:rPr>
  </w:style>
  <w:style w:type="character" w:customStyle="1" w:styleId="20">
    <w:name w:val="标题 2 字符"/>
    <w:basedOn w:val="a0"/>
    <w:link w:val="2"/>
    <w:uiPriority w:val="9"/>
    <w:rsid w:val="00B8031C"/>
    <w:rPr>
      <w:rFonts w:ascii="宋体" w:eastAsia="宋体" w:hAnsi="宋体" w:cs="宋体"/>
      <w:b/>
      <w:bCs/>
      <w:kern w:val="0"/>
      <w:sz w:val="36"/>
      <w:szCs w:val="36"/>
    </w:rPr>
  </w:style>
  <w:style w:type="character" w:styleId="a3">
    <w:name w:val="Hyperlink"/>
    <w:basedOn w:val="a0"/>
    <w:uiPriority w:val="99"/>
    <w:semiHidden/>
    <w:unhideWhenUsed/>
    <w:rsid w:val="00B8031C"/>
    <w:rPr>
      <w:color w:val="0000FF"/>
      <w:u w:val="single"/>
    </w:rPr>
  </w:style>
  <w:style w:type="character" w:customStyle="1" w:styleId="item">
    <w:name w:val="item"/>
    <w:basedOn w:val="a0"/>
    <w:rsid w:val="00B8031C"/>
  </w:style>
  <w:style w:type="character" w:customStyle="1" w:styleId="apple-converted-space">
    <w:name w:val="apple-converted-space"/>
    <w:basedOn w:val="a0"/>
    <w:rsid w:val="00B8031C"/>
  </w:style>
  <w:style w:type="paragraph" w:styleId="a4">
    <w:name w:val="Normal (Web)"/>
    <w:basedOn w:val="a"/>
    <w:uiPriority w:val="99"/>
    <w:semiHidden/>
    <w:unhideWhenUsed/>
    <w:rsid w:val="00B8031C"/>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B803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012272">
      <w:bodyDiv w:val="1"/>
      <w:marLeft w:val="0"/>
      <w:marRight w:val="0"/>
      <w:marTop w:val="0"/>
      <w:marBottom w:val="0"/>
      <w:divBdr>
        <w:top w:val="none" w:sz="0" w:space="0" w:color="auto"/>
        <w:left w:val="none" w:sz="0" w:space="0" w:color="auto"/>
        <w:bottom w:val="none" w:sz="0" w:space="0" w:color="auto"/>
        <w:right w:val="none" w:sz="0" w:space="0" w:color="auto"/>
      </w:divBdr>
      <w:divsChild>
        <w:div w:id="816606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2020-08-12T14:58:00Z</dcterms:created>
  <dcterms:modified xsi:type="dcterms:W3CDTF">2020-08-12T15:00:00Z</dcterms:modified>
</cp:coreProperties>
</file>