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7099" w:rsidRPr="00D37099" w:rsidRDefault="00D37099" w:rsidP="00D37099">
      <w:pPr>
        <w:widowControl/>
        <w:spacing w:line="540" w:lineRule="atLeast"/>
        <w:jc w:val="left"/>
        <w:outlineLvl w:val="0"/>
        <w:rPr>
          <w:rFonts w:ascii="Avenir" w:eastAsia="宋体" w:hAnsi="Avenir" w:cs="宋体"/>
          <w:color w:val="141414"/>
          <w:kern w:val="36"/>
          <w:sz w:val="42"/>
          <w:szCs w:val="42"/>
        </w:rPr>
      </w:pPr>
      <w:r w:rsidRPr="00D37099">
        <w:rPr>
          <w:rFonts w:ascii="Avenir" w:eastAsia="宋体" w:hAnsi="Avenir" w:cs="宋体"/>
          <w:color w:val="141414"/>
          <w:kern w:val="36"/>
          <w:sz w:val="42"/>
          <w:szCs w:val="42"/>
        </w:rPr>
        <w:t>智能运维系列（一）</w:t>
      </w:r>
      <w:r w:rsidRPr="00D37099">
        <w:rPr>
          <w:rFonts w:ascii="Avenir" w:eastAsia="宋体" w:hAnsi="Avenir" w:cs="宋体"/>
          <w:color w:val="141414"/>
          <w:kern w:val="36"/>
          <w:sz w:val="42"/>
          <w:szCs w:val="42"/>
        </w:rPr>
        <w:t xml:space="preserve">| </w:t>
      </w:r>
      <w:proofErr w:type="spellStart"/>
      <w:r w:rsidRPr="00D37099">
        <w:rPr>
          <w:rFonts w:ascii="Avenir" w:eastAsia="宋体" w:hAnsi="Avenir" w:cs="宋体"/>
          <w:color w:val="141414"/>
          <w:kern w:val="36"/>
          <w:sz w:val="42"/>
          <w:szCs w:val="42"/>
        </w:rPr>
        <w:t>AIOps</w:t>
      </w:r>
      <w:proofErr w:type="spellEnd"/>
      <w:r w:rsidRPr="00D37099">
        <w:rPr>
          <w:rFonts w:ascii="Avenir" w:eastAsia="宋体" w:hAnsi="Avenir" w:cs="宋体"/>
          <w:color w:val="141414"/>
          <w:kern w:val="36"/>
          <w:sz w:val="42"/>
          <w:szCs w:val="42"/>
        </w:rPr>
        <w:t xml:space="preserve"> </w:t>
      </w:r>
      <w:r w:rsidRPr="00D37099">
        <w:rPr>
          <w:rFonts w:ascii="Avenir" w:eastAsia="宋体" w:hAnsi="Avenir" w:cs="宋体"/>
          <w:color w:val="141414"/>
          <w:kern w:val="36"/>
          <w:sz w:val="42"/>
          <w:szCs w:val="42"/>
        </w:rPr>
        <w:t>的崛起与实践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999999"/>
          <w:kern w:val="0"/>
          <w:sz w:val="24"/>
        </w:rPr>
      </w:pPr>
      <w:r w:rsidRPr="00D37099">
        <w:rPr>
          <w:rFonts w:ascii="Avenir" w:eastAsia="宋体" w:hAnsi="Avenir" w:cs="宋体"/>
          <w:b/>
          <w:bCs/>
          <w:color w:val="999999"/>
          <w:kern w:val="0"/>
          <w:sz w:val="24"/>
        </w:rPr>
        <w:t>专题简介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：智能运维（</w:t>
      </w:r>
      <w:proofErr w:type="spellStart"/>
      <w:r w:rsidRPr="00D37099">
        <w:rPr>
          <w:rFonts w:ascii="Avenir" w:eastAsia="宋体" w:hAnsi="Avenir" w:cs="宋体"/>
          <w:color w:val="999999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999999"/>
          <w:kern w:val="0"/>
          <w:sz w:val="24"/>
        </w:rPr>
        <w:t>），根据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 xml:space="preserve"> Gartner 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的最新阐释，意指整合大数据和机器学习能力，通过松耦合、可扩展方式去提取和分析数据量（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volume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）、种类（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variety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）和速度（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velocity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）这三个维度不断增长的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数据，进而为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999999"/>
          <w:kern w:val="0"/>
          <w:sz w:val="24"/>
        </w:rPr>
        <w:t>运维管理产品提供支撑。在此，微众银行智能运维团队根据一线工作的实践经验与心得体会，特别撰写了《智能运维系列》文章，敬请持续关注。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运维其实早在科技公司创建之初即存在了，只是一开始与其说是运维，不如说是网管与电脑维修。公司与电脑有关的都在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运维的工作范围内。随着科技的进步，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的岗位划分也越来越细致，才逐渐形成了与现在相似的对业务连续性直接负责的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运维职能部门。而近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10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年随着各种技术浪潮的爆发，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运维价值才逐渐显现出来。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通过如下一张图就可以看到运维发展的几个阶段，早期的手工运维，到流程化、标准化运维，再到平台化、自动化运维，最后到近十年的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DevOps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（研发运营一体化）和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>（智能运维）。运维发展其实和各种技术更新是密不可分的，也是各种技术重要的实验田。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"/var/folders/p8/3rv2l4_x7_13f2gjv64zllt00000gn/T/com.microsoft.Word/WebArchiveCopyPasteTempFiles/48ebdc761caea837951abc6e73161d79.png"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233295"/>
            <wp:effectExtent l="0" t="0" r="0" b="1905"/>
            <wp:docPr id="10" name="图片 10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1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：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运维发展示意图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对于企业而言，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运维的价值体现在对业务稳定、运行安全和提效降本三个方面的保障与控制。近年来实体业务纷纷发展线上交易，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投入逐渐加大，业务的稳定与安全直接影响企业效益，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在效率与成本上的平衡也成为各家企业需要面对的问题。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运维行业转向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DevOps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或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已经是必然的选择。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DevOps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将软件全生命周期的工具全链路打通，结合自动化、跨团队的线上协作能力，实现了快速响应、高质量交付以及持续反馈。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的落地将为企业运营和运维工作在成本、质量、效率等方面的调整提供重要支撑。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目前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的主要应用场景有异常告警、告警收敛、故障分析、趋势预测等。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下面以几个公司的案例为例来分析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目前在企业中的实施情况。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（一）美团业务稳定性保障平台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实践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 xml:space="preserve">2019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6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月，在全球技术领导力峰会上，来自美团的资深技术专家宋斌从美团的即时物流业务谈起，介绍了美团面临系统稳定性方面极高的挑战：峰值流量高、瞬间峰值大、业务链路长、线上业务复杂度高、故障敏感，影响履约完成率，造成赔付和客诉。经过一年多的努力，从人工运维状态逐步转化为自动化运维，甚至在尝试使用机器学习的能力，提升运维整理效率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在此次分享中，我们可以看到美团主要在容量评估、弹性设计、故障诊断、风险防范方面逐步建立了全面可靠的自动化可运维的系统。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"/var/folders/p8/3rv2l4_x7_13f2gjv64zllt00000gn/T/com.microsoft.Word/WebArchiveCopyPasteTempFiles/e108d3d4746155872b25fca1e96f73cd.png"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589530"/>
            <wp:effectExtent l="0" t="0" r="0" b="1270"/>
            <wp:docPr id="9" name="图片 9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2: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美团配送实践概览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其中在故障诊断方面既包含了故障检测，也包含了根因定位。即回答了故障长什么样，也回答了故障是什么，根因是什么。从研发人员和管理人员两个角度展示故障信息。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在核心功能上不只完成了故障收敛，还完成了链路监控和故障拓扑展示，告警升级等，同时对故障进行相对完整的标记、运营、管理、跟踪等工作。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"/var/folders/p8/3rv2l4_x7_13f2gjv64zllt00000gn/T/com.microsoft.Word/WebArchiveCopyPasteTempFiles/99783c55a14580c2cee2aa0426923d41.png"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886710"/>
            <wp:effectExtent l="0" t="0" r="0" b="0"/>
            <wp:docPr id="8" name="图片 8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3: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美团故障识别模块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在根因定位思路上即在传统的纵向分析方面进行了根因挖掘，也在调用链调用关系逐层递归的横向分析方面有所创新。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"/var/folders/p8/3rv2l4_x7_13f2gjv64zllt00000gn/T/com.microsoft.Word/WebArchiveCopyPasteTempFiles/4e810aaca745577fd461112465e1363e.png"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776220"/>
            <wp:effectExtent l="0" t="0" r="0" b="5080"/>
            <wp:docPr id="7" name="图片 7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4: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美团故障根因分析维度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>从结果上看，定位时间和故障覆盖率都很好，极大的降低了运维成本。在整个运维保障体系中，机器学习主要应用在了端到端链路监控、以及失败率监控的动态阀值上（基于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LOF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算法的异常检测），但同时也辅助以规则。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"/var/folders/p8/3rv2l4_x7_13f2gjv64zllt00000gn/T/com.microsoft.Word/WebArchiveCopyPasteTempFiles/7f1bf69ebce705de18ab14b170e8d8e6.png"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1601470"/>
            <wp:effectExtent l="0" t="0" r="0" b="0"/>
            <wp:docPr id="6" name="图片 6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5: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美团故障识别收益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（二）百度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在监控报警方面的应用场景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2019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年的全球架构师峰会上，百度资深研发工程师周伟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/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范月林介绍了百度落地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过程中在智能异常检测和智能报警合并两个监控场景取得的收获。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如下图是百度的报警系统业务模型，在异常判断阶段，面临的挑战是模型变更频繁，算法不固定。为了解决这个问题，百度实现了算法和模型分离，迭代周期从月缩短到日。验证算法策略的平台分为了离线环境、近线环境、在线环境，使算法在一个可靠的数据环境中验证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在通告发送阶段，由于可能面临报警风暴的挑战，需要做报警合并。百度从两个方面进行了合并，按部署架构合并和跨部署架构的合并。其中按部署架构合并主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>要基于配置管理系统的基础关联关系，而跨部署架构合并则依赖上下游关系和离线的策略挖掘。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"/var/folders/p8/3rv2l4_x7_13f2gjv64zllt00000gn/T/com.microsoft.Word/WebArchiveCopyPasteTempFiles/f1e6aeb24887e33964fb079a63fff842.png"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703830"/>
            <wp:effectExtent l="0" t="0" r="0" b="1270"/>
            <wp:docPr id="5" name="图片 5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6: 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百度报警系统业务模型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从效果上看，核心的监控关键指标都有了明显提升。异常检测效果非常好，报警的短信量也大幅降低。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"/var/folders/p8/3rv2l4_x7_13f2gjv64zllt00000gn/T/com.microsoft.Word/WebArchiveCopyPasteTempFiles/2e8a85f4d24d38ffb627294aa58f5627.png"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1285240"/>
            <wp:effectExtent l="0" t="0" r="0" b="0"/>
            <wp:docPr id="4" name="图片 4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7: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百度报警优化收益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（三）微众银行在异常发现和根因定位方面的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b/>
          <w:bCs/>
          <w:color w:val="4A4A4A"/>
          <w:kern w:val="0"/>
          <w:sz w:val="24"/>
        </w:rPr>
        <w:t>实践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 xml:space="preserve">2019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年微众银行在落地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过程中，也使用了机器学习算法在多个功能场景中实践，取得了一定的成果。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在异常发现方面，从业务产品可用率出发，定义业务黄金指标（交易量、业务成功率、系统成功率、单位时间交易平均耗时），对黄金指标进行算法结合规则的检测。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在根因定位方面，放弃了传统的组件告警收敛专家经验的定位方法，以消息总线的消息日志为基础，基于算法生成交易链路，异常时绘制故障交易链路图，定位中断子系统，然后以中断子系统为圆心，使用知识图谱算法发散式根因挖掘。另外，历史异常事件的数据也导入知识图谱，修正知识图谱中的专家经验。从运维管理的角度进行异常识别和根因定位标记，不断迭代修订基础模型数据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"/var/folders/p8/3rv2l4_x7_13f2gjv64zllt00000gn/T/com.microsoft.Word/WebArchiveCopyPasteTempFiles/188fb1e1eebae5e25ac7cfbf71f8d90f.png"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2957830"/>
            <wp:effectExtent l="0" t="0" r="0" b="1270"/>
            <wp:docPr id="3" name="图片 3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8: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根因分析逻辑示意图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 xml:space="preserve">2019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年微众银行全年异常识别准确率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96%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，漏告量低于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1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笔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/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季度。异常通报时常较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2018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年提升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66%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。从异常发生开始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5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分钟完成根因定位。异常识别和根因定位的效果都有明显改善。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"/var/folders/p8/3rv2l4_x7_13f2gjv64zllt00000gn/T/com.microsoft.Word/WebArchiveCopyPasteTempFiles/9a24a4b0b766622d59c15e11c01ef35b.png"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3405505"/>
            <wp:effectExtent l="0" t="0" r="0" b="0"/>
            <wp:docPr id="2" name="图片 2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9: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微众银行异常识别与根因定位准确率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begin"/>
      </w:r>
      <w:r w:rsidRPr="00D37099">
        <w:rPr>
          <w:rFonts w:ascii="Avenir" w:eastAsia="宋体" w:hAnsi="Avenir" w:cs="宋体"/>
          <w:color w:val="4A4A4A"/>
          <w:kern w:val="0"/>
          <w:sz w:val="24"/>
        </w:rPr>
        <w:instrText xml:space="preserve"> INCLUDEPICTURE "/var/folders/p8/3rv2l4_x7_13f2gjv64zllt00000gn/T/com.microsoft.Word/WebArchiveCopyPasteTempFiles/808c90df0d89f326af148243bddd2aa9.png" \* MERGEFORMATINET </w:instrText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separate"/>
      </w:r>
      <w:r w:rsidRPr="00D37099">
        <w:rPr>
          <w:rFonts w:ascii="Avenir" w:eastAsia="宋体" w:hAnsi="Avenir" w:cs="宋体"/>
          <w:noProof/>
          <w:color w:val="4A4A4A"/>
          <w:kern w:val="0"/>
          <w:sz w:val="24"/>
        </w:rPr>
        <w:drawing>
          <wp:inline distT="0" distB="0" distL="0" distR="0">
            <wp:extent cx="5270500" cy="1224280"/>
            <wp:effectExtent l="0" t="0" r="0" b="0"/>
            <wp:docPr id="1" name="图片 1" descr="智能运维系列（一）| AIOps的崛起与实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智能运维系列（一）| AIOps的崛起与实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099">
        <w:rPr>
          <w:rFonts w:ascii="Avenir" w:eastAsia="宋体" w:hAnsi="Avenir" w:cs="宋体"/>
          <w:color w:val="4A4A4A"/>
          <w:kern w:val="0"/>
          <w:sz w:val="24"/>
        </w:rPr>
        <w:fldChar w:fldCharType="end"/>
      </w:r>
    </w:p>
    <w:p w:rsidR="00D37099" w:rsidRPr="00D37099" w:rsidRDefault="00D37099" w:rsidP="00D37099">
      <w:pPr>
        <w:widowControl/>
        <w:spacing w:line="480" w:lineRule="auto"/>
        <w:jc w:val="center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图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10: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微众银行异常根因定位收益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从以上比较成功的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3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个案例出发，我们可以尝试总结一下目前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在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运维领域实践的几个特点：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lastRenderedPageBreak/>
        <w:t xml:space="preserve">(1)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机器学习算法落地场景首推异常指标识别。因为工程化成本低，较容易产生效果。一两个核心开发人员即可。而且一旦成功，运维人员能获得最直接的收益。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(2) 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从异常指标出发，衍生到异常追溯原因的各类场景。当识别出了异常，自然希望得到答案。例如以上案例所示美团和微众银行都在根因定位上有所突破，同时都使用到了交易链路，所不同的是，美团是依靠人工管理标注完成，而微众银行使用了算法结合消息总线的日志自动产生。所以，从纯粹数据层面的机器学习逐渐过渡到逻辑层面的机器学习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(3) 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算法结合规则才能达到实际生产运维期望的效果。算法不能解决所有问题。如果要更好的解决实际运维场景的问题，算法结合规则或专家经验才是宝贵的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落地经验。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(4) 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标准化、数据仓库式的运维数据是基础，大量运维格式化基础数据是机器学习的先决条件。所以，从组织架构到运维工具都应尽量做到集中化管理。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>(5) 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类似容量预测或事件预测等类似预测类的场景将是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的下一个探索方向，主动发现与预测将是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运维未来需要解决的问题。</w:t>
      </w:r>
    </w:p>
    <w:p w:rsidR="00D37099" w:rsidRPr="00D37099" w:rsidRDefault="00D37099" w:rsidP="00D37099">
      <w:pPr>
        <w:widowControl/>
        <w:spacing w:before="100" w:beforeAutospacing="1" w:after="100" w:afterAutospacing="1" w:line="480" w:lineRule="auto"/>
        <w:rPr>
          <w:rFonts w:ascii="Avenir" w:eastAsia="宋体" w:hAnsi="Avenir" w:cs="宋体"/>
          <w:color w:val="4A4A4A"/>
          <w:kern w:val="0"/>
          <w:sz w:val="24"/>
        </w:rPr>
      </w:pP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技术架构从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“IOE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架构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”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逐步走向了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“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互联网架构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”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；运维体系从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ITIL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走向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DevOps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；运维平台从自动化走向了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>；运维核心从关注平台走向数据资产。智能化以及数据化是未来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运维的总体趋势，互联网业务的连续性保障的方方面面都将在这次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IT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运维变更中发生巨大变化。</w:t>
      </w:r>
      <w:proofErr w:type="spellStart"/>
      <w:r w:rsidRPr="00D37099">
        <w:rPr>
          <w:rFonts w:ascii="Avenir" w:eastAsia="宋体" w:hAnsi="Avenir" w:cs="宋体"/>
          <w:color w:val="4A4A4A"/>
          <w:kern w:val="0"/>
          <w:sz w:val="24"/>
        </w:rPr>
        <w:t>AIOps</w:t>
      </w:r>
      <w:proofErr w:type="spellEnd"/>
      <w:r w:rsidRPr="00D37099">
        <w:rPr>
          <w:rFonts w:ascii="Avenir" w:eastAsia="宋体" w:hAnsi="Avenir" w:cs="宋体"/>
          <w:color w:val="4A4A4A"/>
          <w:kern w:val="0"/>
          <w:sz w:val="24"/>
        </w:rPr>
        <w:t xml:space="preserve"> </w:t>
      </w:r>
      <w:r w:rsidRPr="00D37099">
        <w:rPr>
          <w:rFonts w:ascii="Avenir" w:eastAsia="宋体" w:hAnsi="Avenir" w:cs="宋体"/>
          <w:color w:val="4A4A4A"/>
          <w:kern w:val="0"/>
          <w:sz w:val="24"/>
        </w:rPr>
        <w:t>也会在更多运维场景中发挥不可替代的作用。</w:t>
      </w:r>
    </w:p>
    <w:p w:rsidR="00CD5564" w:rsidRPr="00D37099" w:rsidRDefault="00CD5564"/>
    <w:sectPr w:rsidR="00CD5564" w:rsidRPr="00D37099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560C10"/>
    <w:multiLevelType w:val="multilevel"/>
    <w:tmpl w:val="F618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0B2E16"/>
    <w:multiLevelType w:val="multilevel"/>
    <w:tmpl w:val="60B6B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099"/>
    <w:rsid w:val="00CD5564"/>
    <w:rsid w:val="00D37099"/>
    <w:rsid w:val="00D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6C22C"/>
  <w15:chartTrackingRefBased/>
  <w15:docId w15:val="{FED5F7ED-A9FC-AA46-BE12-AA14D912A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370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7099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detail">
    <w:name w:val="detail"/>
    <w:basedOn w:val="a"/>
    <w:rsid w:val="00D370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date">
    <w:name w:val="date"/>
    <w:basedOn w:val="a0"/>
    <w:rsid w:val="00D37099"/>
  </w:style>
  <w:style w:type="paragraph" w:styleId="a3">
    <w:name w:val="Normal (Web)"/>
    <w:basedOn w:val="a"/>
    <w:uiPriority w:val="99"/>
    <w:semiHidden/>
    <w:unhideWhenUsed/>
    <w:rsid w:val="00D370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uiPriority w:val="22"/>
    <w:qFormat/>
    <w:rsid w:val="00D37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1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321">
          <w:blockQuote w:val="1"/>
          <w:marLeft w:val="480"/>
          <w:marRight w:val="720"/>
          <w:marTop w:val="240"/>
          <w:marBottom w:val="240"/>
          <w:divBdr>
            <w:top w:val="none" w:sz="0" w:space="0" w:color="auto"/>
            <w:left w:val="single" w:sz="24" w:space="12" w:color="E5E9F2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715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2020-08-04T14:30:00Z</dcterms:created>
  <dcterms:modified xsi:type="dcterms:W3CDTF">2020-08-04T14:31:00Z</dcterms:modified>
</cp:coreProperties>
</file>